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30" w:rsidRDefault="00CC2B47">
      <w:pPr>
        <w:pStyle w:val="af7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Утверждена</w:t>
      </w:r>
    </w:p>
    <w:p w:rsidR="004A0630" w:rsidRDefault="00CC2B47">
      <w:pPr>
        <w:pStyle w:val="af7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4A0630" w:rsidRDefault="00CC2B47">
      <w:pPr>
        <w:pStyle w:val="af7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Элисенваарского сельского поселения </w:t>
      </w:r>
    </w:p>
    <w:p w:rsidR="004A0630" w:rsidRDefault="00CC2B47">
      <w:pPr>
        <w:pStyle w:val="af7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26.02.2025 №_____</w:t>
      </w:r>
    </w:p>
    <w:p w:rsidR="004A0630" w:rsidRDefault="004A0630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630" w:rsidRDefault="00CC2B47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4A0630" w:rsidRDefault="00CC2B47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оздоровления муниципальных финансов</w:t>
      </w:r>
    </w:p>
    <w:p w:rsidR="004A0630" w:rsidRDefault="00CC2B47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Элисенваарского сельского поселения на 2025-2027 годы</w:t>
      </w:r>
    </w:p>
    <w:p w:rsidR="004A0630" w:rsidRDefault="004A0630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оздоровления муниципальных финансов Элисенваарского сельского поселения на 2025-2027 годы (далее - Программа) разработана в целях формирования бюджетной политики </w:t>
      </w:r>
      <w:bookmarkStart w:id="1" w:name="_Hlk36666957"/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поселения, ориентированной на сохранение социальной и фина</w:t>
      </w:r>
      <w:r>
        <w:rPr>
          <w:rFonts w:ascii="Times New Roman" w:hAnsi="Times New Roman" w:cs="Times New Roman"/>
          <w:sz w:val="28"/>
          <w:szCs w:val="28"/>
        </w:rPr>
        <w:t xml:space="preserve">нсовой стабильности, создание условий для устойчивого социально-экономического развития Элисенваарского сельского поселения, эффективного управления муниципальными финансами и укрепления устойчивости бюджетной системы Элисенваарского сельского поселения и </w:t>
      </w:r>
      <w:r>
        <w:rPr>
          <w:rFonts w:ascii="Times New Roman" w:hAnsi="Times New Roman" w:cs="Times New Roman"/>
          <w:sz w:val="28"/>
          <w:szCs w:val="28"/>
        </w:rPr>
        <w:t>направлена на повышение собираемости налоговых и неналоговых доходов, оптимизацию расходов, ограничение бюджетного дефицита.</w:t>
      </w:r>
    </w:p>
    <w:p w:rsidR="004A0630" w:rsidRDefault="004A0630">
      <w:pPr>
        <w:pStyle w:val="af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A0630" w:rsidRDefault="00CC2B47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Цели и задачи Программы</w:t>
      </w:r>
    </w:p>
    <w:p w:rsidR="004A0630" w:rsidRDefault="004A0630">
      <w:pPr>
        <w:pStyle w:val="af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улучшение состояния бюджетной системы, оздоровление муниципальных финансов </w:t>
      </w:r>
      <w:r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исенваарского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финансовой и бюджетной сферах.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достижение поставленной цели направлены следующие задачи Программы: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роста поступлений налоговых и не</w:t>
      </w:r>
      <w:r>
        <w:rPr>
          <w:rFonts w:ascii="Times New Roman" w:hAnsi="Times New Roman" w:cs="Times New Roman"/>
          <w:sz w:val="28"/>
          <w:szCs w:val="28"/>
        </w:rPr>
        <w:t>налоговых доходов в бюджет Элисенваарского сельского поселения;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повышение эффективности и результативности расходов бюджета Элисенваарского сельского поселения;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4"/>
        </w:rPr>
        <w:t>сохранение устойчивости бюджетной системы и обеспечение сбалансированности бюджета поселе</w:t>
      </w:r>
      <w:r>
        <w:rPr>
          <w:rFonts w:ascii="Times New Roman" w:hAnsi="Times New Roman" w:cs="Times New Roman"/>
          <w:sz w:val="28"/>
          <w:szCs w:val="24"/>
        </w:rPr>
        <w:t>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630" w:rsidRDefault="004A0630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630" w:rsidRDefault="00CC2B47">
      <w:pPr>
        <w:pStyle w:val="af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2. Характеристика текущей ситуации</w:t>
      </w:r>
    </w:p>
    <w:p w:rsidR="004A0630" w:rsidRDefault="004A0630">
      <w:pPr>
        <w:pStyle w:val="af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A0630" w:rsidRDefault="00CC2B47">
      <w:pPr>
        <w:pStyle w:val="af7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Текущее состояние  бюджетной системы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оценивается как стабильное, характеризуется проведением оптимизации бюджетных 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асходов на муниципальное управление, бюджетной сети, концентрацией ресурсов на приоритетных направлениях деятельности, в том числе это - мероприятия по реализации указов Президента Российской Федерации, мероприятия с привлечением средств из федерального и </w:t>
      </w:r>
      <w:r>
        <w:rPr>
          <w:rFonts w:ascii="Times New Roman" w:eastAsia="Times New Roman" w:hAnsi="Times New Roman" w:cs="Times New Roman"/>
          <w:sz w:val="28"/>
          <w:szCs w:val="24"/>
        </w:rPr>
        <w:t>республиканского бюджетов.</w:t>
      </w:r>
    </w:p>
    <w:p w:rsidR="004A0630" w:rsidRDefault="00CC2B47">
      <w:pPr>
        <w:pStyle w:val="af7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Исчерпание возможностей для наращивания общего объема расходов требует выявления резервов и перераспределения их в пользу приоритетных направлений и проектов, создающих условия для экономического роста. </w:t>
      </w:r>
    </w:p>
    <w:p w:rsidR="004A0630" w:rsidRDefault="00CC2B47">
      <w:pPr>
        <w:pStyle w:val="af7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Основными резервами в настоящее время являются – это повышение эффективности бюджетных расходов, в том числе за счет  муниципальных закупок.</w:t>
      </w:r>
    </w:p>
    <w:p w:rsidR="004A0630" w:rsidRDefault="00CC2B47">
      <w:pPr>
        <w:pStyle w:val="af7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sz w:val="28"/>
          <w:szCs w:val="24"/>
        </w:rPr>
        <w:t>лияние на изменение доходов бюджета поселения послужит проведенная работа по принятию решения по налогу на имущест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во физических лиц исходя из кадастровой стоимости объектов налогообложения. </w:t>
      </w:r>
    </w:p>
    <w:p w:rsidR="004A0630" w:rsidRDefault="00CC2B47">
      <w:pPr>
        <w:pStyle w:val="af7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Информация об основных показателях исполнения бюджета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динамике за 2022 - 2024 гг. приведена в таблице.</w:t>
      </w:r>
    </w:p>
    <w:p w:rsidR="004A0630" w:rsidRDefault="004A0630">
      <w:pPr>
        <w:pStyle w:val="af7"/>
        <w:jc w:val="both"/>
        <w:rPr>
          <w:rFonts w:ascii="Times New Roman" w:eastAsia="Times New Roman" w:hAnsi="Times New Roman" w:cs="Times New Roman"/>
          <w:sz w:val="28"/>
        </w:rPr>
      </w:pPr>
    </w:p>
    <w:p w:rsidR="004A0630" w:rsidRDefault="00CC2B47">
      <w:pPr>
        <w:pStyle w:val="af7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Основные показатели исполнения бюджет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за 2022 - 2024 гг., тыс. рублей</w:t>
      </w:r>
    </w:p>
    <w:p w:rsidR="004A0630" w:rsidRDefault="004A0630">
      <w:pPr>
        <w:pStyle w:val="af7"/>
        <w:jc w:val="both"/>
        <w:rPr>
          <w:rFonts w:ascii="Times New Roman" w:eastAsia="Times New Roman" w:hAnsi="Times New Roman" w:cs="Times New Roman"/>
          <w:sz w:val="28"/>
        </w:rPr>
      </w:pPr>
    </w:p>
    <w:p w:rsidR="004A0630" w:rsidRDefault="00CC2B47">
      <w:pPr>
        <w:pStyle w:val="af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Таблица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5052"/>
        <w:gridCol w:w="1641"/>
        <w:gridCol w:w="1478"/>
        <w:gridCol w:w="1605"/>
      </w:tblGrid>
      <w:tr w:rsidR="004A0630">
        <w:tc>
          <w:tcPr>
            <w:tcW w:w="4361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2022 год</w:t>
            </w:r>
          </w:p>
        </w:tc>
        <w:tc>
          <w:tcPr>
            <w:tcW w:w="127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2023 год</w:t>
            </w:r>
          </w:p>
        </w:tc>
        <w:tc>
          <w:tcPr>
            <w:tcW w:w="138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2024 год</w:t>
            </w:r>
          </w:p>
        </w:tc>
      </w:tr>
      <w:tr w:rsidR="004A0630">
        <w:tc>
          <w:tcPr>
            <w:tcW w:w="4361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Доходы всего, в том числе </w:t>
            </w:r>
          </w:p>
        </w:tc>
        <w:tc>
          <w:tcPr>
            <w:tcW w:w="1417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7 660,3</w:t>
            </w:r>
          </w:p>
        </w:tc>
        <w:tc>
          <w:tcPr>
            <w:tcW w:w="127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5 627,7</w:t>
            </w:r>
          </w:p>
        </w:tc>
        <w:tc>
          <w:tcPr>
            <w:tcW w:w="138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6 087,8</w:t>
            </w:r>
          </w:p>
        </w:tc>
      </w:tr>
      <w:tr w:rsidR="004A0630">
        <w:tc>
          <w:tcPr>
            <w:tcW w:w="4361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налоговые доходы</w:t>
            </w:r>
          </w:p>
        </w:tc>
        <w:tc>
          <w:tcPr>
            <w:tcW w:w="1417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4 284,4</w:t>
            </w:r>
          </w:p>
        </w:tc>
        <w:tc>
          <w:tcPr>
            <w:tcW w:w="127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2 852,6</w:t>
            </w:r>
          </w:p>
        </w:tc>
        <w:tc>
          <w:tcPr>
            <w:tcW w:w="138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3 414,6</w:t>
            </w:r>
          </w:p>
        </w:tc>
      </w:tr>
      <w:tr w:rsidR="004A0630">
        <w:tc>
          <w:tcPr>
            <w:tcW w:w="4361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неналоговые доходы</w:t>
            </w:r>
          </w:p>
        </w:tc>
        <w:tc>
          <w:tcPr>
            <w:tcW w:w="1417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60,6</w:t>
            </w:r>
          </w:p>
        </w:tc>
        <w:tc>
          <w:tcPr>
            <w:tcW w:w="127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67,3</w:t>
            </w:r>
          </w:p>
        </w:tc>
        <w:tc>
          <w:tcPr>
            <w:tcW w:w="138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42,0</w:t>
            </w:r>
          </w:p>
        </w:tc>
      </w:tr>
      <w:tr w:rsidR="004A0630">
        <w:tc>
          <w:tcPr>
            <w:tcW w:w="4361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Расходы</w:t>
            </w:r>
          </w:p>
        </w:tc>
        <w:tc>
          <w:tcPr>
            <w:tcW w:w="1417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7 535,6</w:t>
            </w:r>
          </w:p>
        </w:tc>
        <w:tc>
          <w:tcPr>
            <w:tcW w:w="127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6 356,9</w:t>
            </w:r>
          </w:p>
        </w:tc>
        <w:tc>
          <w:tcPr>
            <w:tcW w:w="138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6 032,7</w:t>
            </w:r>
          </w:p>
        </w:tc>
      </w:tr>
      <w:tr w:rsidR="004A0630">
        <w:tc>
          <w:tcPr>
            <w:tcW w:w="4361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Дефицит</w:t>
            </w:r>
          </w:p>
        </w:tc>
        <w:tc>
          <w:tcPr>
            <w:tcW w:w="1417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124,7</w:t>
            </w:r>
          </w:p>
        </w:tc>
        <w:tc>
          <w:tcPr>
            <w:tcW w:w="127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-729,2</w:t>
            </w:r>
          </w:p>
        </w:tc>
        <w:tc>
          <w:tcPr>
            <w:tcW w:w="1386" w:type="dxa"/>
          </w:tcPr>
          <w:p w:rsidR="004A0630" w:rsidRDefault="00CC2B47">
            <w:pPr>
              <w:pStyle w:val="af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55,1</w:t>
            </w:r>
          </w:p>
        </w:tc>
      </w:tr>
    </w:tbl>
    <w:p w:rsidR="004A0630" w:rsidRDefault="004A0630">
      <w:pPr>
        <w:pStyle w:val="af7"/>
        <w:jc w:val="both"/>
        <w:rPr>
          <w:rFonts w:ascii="Times New Roman" w:eastAsia="Times New Roman" w:hAnsi="Times New Roman" w:cs="Times New Roman"/>
          <w:sz w:val="28"/>
        </w:rPr>
      </w:pPr>
    </w:p>
    <w:p w:rsidR="004A0630" w:rsidRDefault="00CC2B47">
      <w:pPr>
        <w:pStyle w:val="af7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Сопоставление динамики изменений объемов доходной и расходной частей бюджета поселения за последние годы свидетельствует о незначительном превышении темпов роста расходов от темпа роста доходов. Прирост как собственных доходных источников, так и безвозмезд</w:t>
      </w:r>
      <w:r>
        <w:rPr>
          <w:rFonts w:ascii="Times New Roman" w:eastAsia="Times New Roman" w:hAnsi="Times New Roman" w:cs="Times New Roman"/>
          <w:sz w:val="28"/>
          <w:szCs w:val="24"/>
        </w:rPr>
        <w:t>ных поступлений был направлен на покрытие значительно возросших текущих расходов.</w:t>
      </w:r>
    </w:p>
    <w:p w:rsidR="004A0630" w:rsidRDefault="004A0630">
      <w:pPr>
        <w:pStyle w:val="af7"/>
        <w:ind w:firstLine="708"/>
        <w:jc w:val="both"/>
        <w:rPr>
          <w:rFonts w:ascii="Arial" w:hAnsi="Arial" w:cs="Arial"/>
          <w:sz w:val="24"/>
          <w:szCs w:val="24"/>
        </w:rPr>
      </w:pPr>
    </w:p>
    <w:p w:rsidR="004A0630" w:rsidRDefault="00CC2B47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Способы и инструменты решения задач Программы</w:t>
      </w:r>
    </w:p>
    <w:p w:rsidR="004A0630" w:rsidRDefault="004A0630">
      <w:pPr>
        <w:pStyle w:val="af7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Мероприятия Программы предусматривают систему мер органов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по улучшению состояния бюджетной системы, оздоровлению муниципальных финансов.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Реализация Программы будет осуществляться по следующим направлениям: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Мероприятия по увеличению поступлений доходов в бюджет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1.1. Повышение уровня собираемости доходов, сокращение задолженности в бюджет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1.2. Эффективное использование муниципального имущества. 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Мероприятия по оптимизации расходов бюджета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2.1. Непревышение</w:t>
      </w:r>
      <w:bookmarkEnd w:id="1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целевых показателей заработной платы, установленных «дорожными картами» в отраслях социальной сферы;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2.2. Совершенствование системы проведения закупок.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Программы осуществляется путем реализации Плана мероприятий по оздоровлен</w:t>
      </w:r>
      <w:r>
        <w:rPr>
          <w:rFonts w:ascii="Times New Roman" w:hAnsi="Times New Roman" w:cs="Times New Roman"/>
          <w:sz w:val="28"/>
          <w:szCs w:val="28"/>
        </w:rPr>
        <w:t xml:space="preserve">ию муниципальных финансов Элисенваарского сельского поселения на период 2025-2027 годов  предусмотренного </w:t>
      </w:r>
      <w:hyperlink r:id="rId8" w:history="1">
        <w:r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4A0630" w:rsidRDefault="004A0630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630" w:rsidRDefault="00CC2B47">
      <w:pPr>
        <w:pStyle w:val="af7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 Ожидаемые результаты реализации Программы</w:t>
      </w:r>
    </w:p>
    <w:p w:rsidR="004A0630" w:rsidRDefault="004A0630">
      <w:pPr>
        <w:pStyle w:val="af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Реализация Программы позволит: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Оздоровить муниципальные финансы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Укрепить устойчивость бюджетной системы </w:t>
      </w:r>
      <w:r>
        <w:rPr>
          <w:rFonts w:ascii="Times New Roman" w:hAnsi="Times New Roman" w:cs="Times New Roman"/>
          <w:sz w:val="28"/>
          <w:szCs w:val="28"/>
        </w:rPr>
        <w:t>Элисенваарс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Повысить качество управления муниципальными финансами, эффективность и результативность бюджетных расходов;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Не допускать образования просроченной кредиторской задолженности в бюджете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У</w:t>
      </w:r>
      <w:r>
        <w:rPr>
          <w:rFonts w:ascii="Times New Roman" w:eastAsia="Times New Roman" w:hAnsi="Times New Roman" w:cs="Times New Roman"/>
          <w:sz w:val="28"/>
        </w:rPr>
        <w:t>держать рост расходов местного бюджета при оптимизации и эффективном использовании бюджетных средств.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связана с возникновением рисков как внешнего, так и внутреннего характера.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рискам реализации Программы относятся: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В </w:t>
      </w:r>
      <w:r>
        <w:rPr>
          <w:rFonts w:ascii="Times New Roman" w:hAnsi="Times New Roman" w:cs="Times New Roman"/>
          <w:sz w:val="28"/>
          <w:szCs w:val="28"/>
        </w:rPr>
        <w:t>области доходов бюджета Элисенваарского сельского поселения: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Возможное изменение налогового и бюджетного законодательства в части налогообложения и нормативов зачисления налоговых и неналоговых доходов в бюджеты бюджетной системы Российской Федерации;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Неисполнение налогоплательщиками налоговых обязательств или исполнение налоговых обязательств не в полном объеме;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Возможное расширение перечня категорий плательщиков, являющихся получателями льгот и преференций;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Рост сокрытой налоговой базы, в том числе по налогу на доходы физических лиц в связи с возможным ростом «теневой» заработной платы;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Риски, обусловленные сокращением финансовой помощи из бюджета Республики Карелия, из бюджета Лахденпохского муници</w:t>
      </w:r>
      <w:r>
        <w:rPr>
          <w:rFonts w:ascii="Times New Roman" w:hAnsi="Times New Roman" w:cs="Times New Roman"/>
          <w:sz w:val="28"/>
          <w:szCs w:val="28"/>
        </w:rPr>
        <w:t>пального района.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 В области расходов бюджета Элисенваарского сельского поселения: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Риски, связанные с принятием на федеральном и республиканском уровнях решений, влияющих на увеличение расходных обязательств Элисенваарского сельского поселения;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Риски, вызванные инфляционным давлением на текущие расходы;</w:t>
      </w:r>
    </w:p>
    <w:p w:rsidR="004A0630" w:rsidRDefault="00CC2B4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Риски, связанные с возникновением непредвиденных ситуаций форс-мажорного характера. </w:t>
      </w:r>
    </w:p>
    <w:p w:rsidR="004A0630" w:rsidRDefault="004A0630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</w:p>
    <w:p w:rsidR="004A0630" w:rsidRDefault="004A0630">
      <w:pPr>
        <w:pStyle w:val="af7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0630" w:rsidRDefault="004A0630">
      <w:pPr>
        <w:pStyle w:val="af7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0630" w:rsidRDefault="00CC2B47">
      <w:pPr>
        <w:pStyle w:val="af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Программы</w:t>
      </w:r>
    </w:p>
    <w:p w:rsidR="004A0630" w:rsidRDefault="004A0630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Оценка реализации Программы представляет</w:t>
      </w:r>
      <w:r>
        <w:rPr>
          <w:rFonts w:ascii="Times New Roman" w:eastAsia="Times New Roman" w:hAnsi="Times New Roman" w:cs="Times New Roman"/>
          <w:sz w:val="28"/>
        </w:rPr>
        <w:t xml:space="preserve"> собой механизм контроля за исполнением плана мероприятий по реализации Программы.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Выполнение мероприятий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в пределах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на соо</w:t>
      </w:r>
      <w:r>
        <w:rPr>
          <w:rFonts w:ascii="Times New Roman" w:eastAsia="Times New Roman" w:hAnsi="Times New Roman" w:cs="Times New Roman"/>
          <w:sz w:val="28"/>
        </w:rPr>
        <w:t>тветствующий год. Исполнитель ежеквартально, не позднее 20 числа месяца, следующего за отчетным кварталом, представляет информацию о реализации мероприятий Программы и объеме полученного бюджетного эффекта по форме согласно приложению 2.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Результативност</w:t>
      </w:r>
      <w:r>
        <w:rPr>
          <w:rFonts w:ascii="Times New Roman" w:eastAsia="Times New Roman" w:hAnsi="Times New Roman" w:cs="Times New Roman"/>
          <w:sz w:val="28"/>
        </w:rPr>
        <w:t xml:space="preserve">ь и эффективность выполнения мероприятий Программы оценивается главным специалистом Администрация </w:t>
      </w:r>
      <w:r>
        <w:rPr>
          <w:rFonts w:ascii="Times New Roman" w:hAnsi="Times New Roman" w:cs="Times New Roman"/>
          <w:sz w:val="28"/>
          <w:szCs w:val="28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 ежегодно до 1 апреля года, следующего за отчетным, и определяется как степень достижения индикаторов (показателей) исполн</w:t>
      </w:r>
      <w:r>
        <w:rPr>
          <w:rFonts w:ascii="Times New Roman" w:eastAsia="Times New Roman" w:hAnsi="Times New Roman" w:cs="Times New Roman"/>
          <w:sz w:val="28"/>
        </w:rPr>
        <w:t xml:space="preserve">ения мероприятий, указанных в </w:t>
      </w:r>
      <w:hyperlink w:anchor="P203" w:tooltip="Current Document" w:history="1">
        <w:r>
          <w:rPr>
            <w:rFonts w:ascii="Times New Roman" w:eastAsia="Times New Roman" w:hAnsi="Times New Roman" w:cs="Times New Roman"/>
            <w:sz w:val="28"/>
          </w:rPr>
          <w:t>приложении N 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к настоящей Программе, по формуле:</w:t>
      </w:r>
    </w:p>
    <w:p w:rsidR="004A0630" w:rsidRDefault="004A0630">
      <w:pPr>
        <w:pStyle w:val="af7"/>
        <w:rPr>
          <w:rFonts w:ascii="Times New Roman" w:eastAsia="Times New Roman" w:hAnsi="Times New Roman" w:cs="Times New Roman"/>
          <w:sz w:val="28"/>
        </w:rPr>
      </w:pPr>
    </w:p>
    <w:p w:rsidR="004A0630" w:rsidRDefault="00CC2B47">
      <w:pPr>
        <w:pStyle w:val="af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где:</w:t>
      </w:r>
    </w:p>
    <w:p w:rsidR="004A0630" w:rsidRDefault="004A0630">
      <w:pPr>
        <w:pStyle w:val="af7"/>
        <w:rPr>
          <w:rFonts w:ascii="Times New Roman" w:eastAsia="Times New Roman" w:hAnsi="Times New Roman" w:cs="Times New Roman"/>
          <w:sz w:val="28"/>
        </w:rPr>
      </w:pP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R - значение показателя эффективности реализации Программы (доля достигнутых целевых показателей (индикаторов) к общему количеству показателей (индикаторов) за отчетный год), %;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i - количество достигнутых целевых показателей (индикаторов), ед.;</w:t>
      </w:r>
    </w:p>
    <w:p w:rsidR="004A0630" w:rsidRDefault="00CC2B47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n - общее к</w:t>
      </w:r>
      <w:r>
        <w:rPr>
          <w:rFonts w:ascii="Times New Roman" w:eastAsia="Times New Roman" w:hAnsi="Times New Roman" w:cs="Times New Roman"/>
          <w:sz w:val="28"/>
          <w:szCs w:val="24"/>
        </w:rPr>
        <w:t>оличество целевых показателей (индикаторов), ед.</w:t>
      </w:r>
    </w:p>
    <w:p w:rsidR="004A0630" w:rsidRDefault="00CC2B47">
      <w:pPr>
        <w:pStyle w:val="af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Критерии оценки реализации Программы приведены в таблице.</w:t>
      </w:r>
    </w:p>
    <w:p w:rsidR="004A0630" w:rsidRDefault="004A0630">
      <w:pPr>
        <w:pStyle w:val="af7"/>
        <w:rPr>
          <w:rFonts w:ascii="Times New Roman" w:eastAsia="Times New Roman" w:hAnsi="Times New Roman" w:cs="Times New Roman"/>
          <w:sz w:val="28"/>
        </w:rPr>
      </w:pPr>
    </w:p>
    <w:p w:rsidR="004A0630" w:rsidRDefault="00CC2B47">
      <w:pPr>
        <w:pStyle w:val="af7"/>
        <w:jc w:val="center"/>
        <w:outlineLvl w:val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Критерии оценки реализации Программы</w:t>
      </w:r>
    </w:p>
    <w:p w:rsidR="004A0630" w:rsidRDefault="004A0630">
      <w:pPr>
        <w:pStyle w:val="af7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543"/>
      </w:tblGrid>
      <w:tr w:rsidR="004A0630">
        <w:trPr>
          <w:jc w:val="center"/>
        </w:trPr>
        <w:tc>
          <w:tcPr>
            <w:tcW w:w="3855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Значение показателя эффективности реализации Программы (R)</w:t>
            </w:r>
          </w:p>
        </w:tc>
        <w:tc>
          <w:tcPr>
            <w:tcW w:w="3543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Оценка реализации </w:t>
            </w:r>
          </w:p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Программы</w:t>
            </w:r>
          </w:p>
        </w:tc>
      </w:tr>
      <w:tr w:rsidR="004A0630">
        <w:trPr>
          <w:jc w:val="center"/>
        </w:trPr>
        <w:tc>
          <w:tcPr>
            <w:tcW w:w="3855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более 90%</w:t>
            </w:r>
          </w:p>
        </w:tc>
        <w:tc>
          <w:tcPr>
            <w:tcW w:w="3543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высокая</w:t>
            </w:r>
          </w:p>
        </w:tc>
      </w:tr>
      <w:tr w:rsidR="004A0630">
        <w:trPr>
          <w:jc w:val="center"/>
        </w:trPr>
        <w:tc>
          <w:tcPr>
            <w:tcW w:w="3855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от 70% до 90%</w:t>
            </w:r>
          </w:p>
        </w:tc>
        <w:tc>
          <w:tcPr>
            <w:tcW w:w="3543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средняя</w:t>
            </w:r>
          </w:p>
        </w:tc>
      </w:tr>
      <w:tr w:rsidR="004A0630">
        <w:trPr>
          <w:jc w:val="center"/>
        </w:trPr>
        <w:tc>
          <w:tcPr>
            <w:tcW w:w="3855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менее 70%</w:t>
            </w:r>
          </w:p>
        </w:tc>
        <w:tc>
          <w:tcPr>
            <w:tcW w:w="3543" w:type="dxa"/>
          </w:tcPr>
          <w:p w:rsidR="004A0630" w:rsidRDefault="00CC2B47">
            <w:pPr>
              <w:pStyle w:val="af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низкая</w:t>
            </w:r>
          </w:p>
        </w:tc>
      </w:tr>
    </w:tbl>
    <w:p w:rsidR="004A0630" w:rsidRDefault="004A0630">
      <w:pPr>
        <w:pStyle w:val="af7"/>
        <w:rPr>
          <w:rFonts w:ascii="Times New Roman" w:hAnsi="Times New Roman" w:cs="Times New Roman"/>
          <w:sz w:val="28"/>
          <w:szCs w:val="28"/>
        </w:rPr>
      </w:pPr>
    </w:p>
    <w:sectPr w:rsidR="004A063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47" w:rsidRDefault="00CC2B47">
      <w:pPr>
        <w:spacing w:after="0" w:line="240" w:lineRule="auto"/>
      </w:pPr>
      <w:r>
        <w:separator/>
      </w:r>
    </w:p>
  </w:endnote>
  <w:endnote w:type="continuationSeparator" w:id="0">
    <w:p w:rsidR="00CC2B47" w:rsidRDefault="00CC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30" w:rsidRDefault="00CC2B47">
    <w:pPr>
      <w:pStyle w:val="af0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A0630" w:rsidRDefault="004A0630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30" w:rsidRDefault="004A063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47" w:rsidRDefault="00CC2B47">
      <w:pPr>
        <w:spacing w:after="0" w:line="240" w:lineRule="auto"/>
      </w:pPr>
      <w:r>
        <w:separator/>
      </w:r>
    </w:p>
  </w:footnote>
  <w:footnote w:type="continuationSeparator" w:id="0">
    <w:p w:rsidR="00CC2B47" w:rsidRDefault="00CC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258321"/>
      <w:docPartObj>
        <w:docPartGallery w:val="Page Numbers (Top of Page)"/>
        <w:docPartUnique/>
      </w:docPartObj>
    </w:sdtPr>
    <w:sdtEndPr/>
    <w:sdtContent>
      <w:p w:rsidR="004A0630" w:rsidRDefault="00CC2B4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E38">
          <w:rPr>
            <w:noProof/>
          </w:rPr>
          <w:t>2</w:t>
        </w:r>
        <w:r>
          <w:fldChar w:fldCharType="end"/>
        </w:r>
      </w:p>
    </w:sdtContent>
  </w:sdt>
  <w:p w:rsidR="004A0630" w:rsidRDefault="004A063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30" w:rsidRDefault="004A0630">
    <w:pPr>
      <w:pStyle w:val="ae"/>
      <w:jc w:val="center"/>
    </w:pPr>
  </w:p>
  <w:p w:rsidR="004A0630" w:rsidRDefault="004A063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A65"/>
    <w:multiLevelType w:val="hybridMultilevel"/>
    <w:tmpl w:val="18525098"/>
    <w:lvl w:ilvl="0" w:tplc="2594F8E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BC0A77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2077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52A0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EA0C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25079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EE22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A823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0639A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F54A9B"/>
    <w:multiLevelType w:val="hybridMultilevel"/>
    <w:tmpl w:val="CE2ABE12"/>
    <w:lvl w:ilvl="0" w:tplc="66E49EA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A64B7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3769F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A06F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A643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622C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6CE9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59EC0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6EB44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D90CF2"/>
    <w:multiLevelType w:val="hybridMultilevel"/>
    <w:tmpl w:val="C00E5FF2"/>
    <w:lvl w:ilvl="0" w:tplc="60F063B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B5440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94E30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BE2698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4C5F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9C1B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EC8A0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F2C6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6090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9A08A9"/>
    <w:multiLevelType w:val="hybridMultilevel"/>
    <w:tmpl w:val="E7B834FA"/>
    <w:lvl w:ilvl="0" w:tplc="DAFC7AF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108E681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C3AF21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064B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8405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62A44E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2060D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F16157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02EB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E45C46"/>
    <w:multiLevelType w:val="hybridMultilevel"/>
    <w:tmpl w:val="434897B4"/>
    <w:lvl w:ilvl="0" w:tplc="55E80F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BDE97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FEAF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98690C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9074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D053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8EBA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9A63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2ECB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EB1180"/>
    <w:multiLevelType w:val="hybridMultilevel"/>
    <w:tmpl w:val="36B29D78"/>
    <w:lvl w:ilvl="0" w:tplc="71A4159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346AC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B06D1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787D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B8EA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3C92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AC47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156FF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9CCA8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217A58"/>
    <w:multiLevelType w:val="hybridMultilevel"/>
    <w:tmpl w:val="B958E212"/>
    <w:lvl w:ilvl="0" w:tplc="5C92A910">
      <w:start w:val="1"/>
      <w:numFmt w:val="decimal"/>
      <w:lvlText w:val="%1)"/>
      <w:lvlJc w:val="left"/>
      <w:pPr>
        <w:ind w:left="1035" w:hanging="360"/>
      </w:pPr>
    </w:lvl>
    <w:lvl w:ilvl="1" w:tplc="5D2CE81A">
      <w:start w:val="1"/>
      <w:numFmt w:val="lowerLetter"/>
      <w:lvlText w:val="%2."/>
      <w:lvlJc w:val="left"/>
      <w:pPr>
        <w:ind w:left="1755" w:hanging="360"/>
      </w:pPr>
    </w:lvl>
    <w:lvl w:ilvl="2" w:tplc="E118FC5E">
      <w:start w:val="1"/>
      <w:numFmt w:val="lowerRoman"/>
      <w:lvlText w:val="%3."/>
      <w:lvlJc w:val="right"/>
      <w:pPr>
        <w:ind w:left="2475" w:hanging="180"/>
      </w:pPr>
    </w:lvl>
    <w:lvl w:ilvl="3" w:tplc="352C4F16">
      <w:start w:val="1"/>
      <w:numFmt w:val="decimal"/>
      <w:lvlText w:val="%4."/>
      <w:lvlJc w:val="left"/>
      <w:pPr>
        <w:ind w:left="3195" w:hanging="360"/>
      </w:pPr>
    </w:lvl>
    <w:lvl w:ilvl="4" w:tplc="69A68E06">
      <w:start w:val="1"/>
      <w:numFmt w:val="lowerLetter"/>
      <w:lvlText w:val="%5."/>
      <w:lvlJc w:val="left"/>
      <w:pPr>
        <w:ind w:left="3915" w:hanging="360"/>
      </w:pPr>
    </w:lvl>
    <w:lvl w:ilvl="5" w:tplc="E0FC9F96">
      <w:start w:val="1"/>
      <w:numFmt w:val="lowerRoman"/>
      <w:lvlText w:val="%6."/>
      <w:lvlJc w:val="right"/>
      <w:pPr>
        <w:ind w:left="4635" w:hanging="180"/>
      </w:pPr>
    </w:lvl>
    <w:lvl w:ilvl="6" w:tplc="E01AF360">
      <w:start w:val="1"/>
      <w:numFmt w:val="decimal"/>
      <w:lvlText w:val="%7."/>
      <w:lvlJc w:val="left"/>
      <w:pPr>
        <w:ind w:left="5355" w:hanging="360"/>
      </w:pPr>
    </w:lvl>
    <w:lvl w:ilvl="7" w:tplc="5848558A">
      <w:start w:val="1"/>
      <w:numFmt w:val="lowerLetter"/>
      <w:lvlText w:val="%8."/>
      <w:lvlJc w:val="left"/>
      <w:pPr>
        <w:ind w:left="6075" w:hanging="360"/>
      </w:pPr>
    </w:lvl>
    <w:lvl w:ilvl="8" w:tplc="E4E6F5FC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00D2174"/>
    <w:multiLevelType w:val="hybridMultilevel"/>
    <w:tmpl w:val="283021BE"/>
    <w:lvl w:ilvl="0" w:tplc="DEA4C47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C08FA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B0CC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1749C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E64A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52239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0128B9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6843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22A6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30"/>
    <w:rsid w:val="004A0630"/>
    <w:rsid w:val="00CC2B47"/>
    <w:rsid w:val="00F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page number"/>
    <w:basedOn w:val="a0"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table" w:customStyle="1" w:styleId="12">
    <w:name w:val="Сетка таблицы1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table" w:customStyle="1" w:styleId="24">
    <w:name w:val="Сетка таблицы2"/>
    <w:basedOn w:val="a1"/>
    <w:next w:val="af4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7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page number"/>
    <w:basedOn w:val="a0"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table" w:customStyle="1" w:styleId="12">
    <w:name w:val="Сетка таблицы1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table" w:customStyle="1" w:styleId="24">
    <w:name w:val="Сетка таблицы2"/>
    <w:basedOn w:val="a1"/>
    <w:next w:val="af4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7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FBD69B511F715205AA802FADFE7CE9FEA273D7A490CD008E229CE52BFDBB1E51F1AA3F366638722CF6709DD873E1162F34C0E182C87B5465944B541t1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Ogurtsova</dc:creator>
  <cp:lastModifiedBy>Admin</cp:lastModifiedBy>
  <cp:revision>2</cp:revision>
  <dcterms:created xsi:type="dcterms:W3CDTF">2025-02-27T09:20:00Z</dcterms:created>
  <dcterms:modified xsi:type="dcterms:W3CDTF">2025-02-27T09:20:00Z</dcterms:modified>
</cp:coreProperties>
</file>