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0D3" w:rsidRDefault="006770D3">
      <w:pPr>
        <w:jc w:val="center"/>
        <w:rPr>
          <w:b/>
        </w:rPr>
      </w:pPr>
    </w:p>
    <w:p w:rsidR="006770D3" w:rsidRPr="000C7C64" w:rsidRDefault="006770D3">
      <w:pPr>
        <w:jc w:val="center"/>
        <w:rPr>
          <w:b/>
        </w:rPr>
      </w:pPr>
    </w:p>
    <w:p w:rsidR="006770D3" w:rsidRPr="000C7C64" w:rsidRDefault="003E5957">
      <w:r w:rsidRPr="000C7C64">
        <w:t xml:space="preserve">                                                     РЕСПУБЛИКА КАРЕЛИЯ</w:t>
      </w:r>
    </w:p>
    <w:p w:rsidR="006770D3" w:rsidRPr="000C7C64" w:rsidRDefault="003E5957">
      <w:pPr>
        <w:jc w:val="center"/>
      </w:pPr>
      <w:r w:rsidRPr="000C7C64">
        <w:t>ЛАХДЕНПОХСКИЙ МУНИЦИПАЛЬНЫЙ РАЙОН</w:t>
      </w:r>
    </w:p>
    <w:p w:rsidR="006770D3" w:rsidRPr="000C7C64" w:rsidRDefault="003E5957">
      <w:pPr>
        <w:jc w:val="center"/>
      </w:pPr>
      <w:r w:rsidRPr="000C7C64">
        <w:t>СОВЕТ ЭЛИСЕНВААРСКОГО СЕЛЬСКОГО ПОСЕЛЕНИЯ</w:t>
      </w:r>
    </w:p>
    <w:p w:rsidR="006770D3" w:rsidRPr="000C7C64" w:rsidRDefault="006770D3">
      <w:pPr>
        <w:jc w:val="center"/>
      </w:pPr>
    </w:p>
    <w:p w:rsidR="006770D3" w:rsidRPr="000C7C64" w:rsidRDefault="003E5957">
      <w:r w:rsidRPr="000C7C64">
        <w:t xml:space="preserve">                                                         </w:t>
      </w:r>
      <w:r w:rsidRPr="000C7C64">
        <w:rPr>
          <w:lang w:val="en-US"/>
        </w:rPr>
        <w:t>VII</w:t>
      </w:r>
      <w:r w:rsidRPr="000C7C64">
        <w:t xml:space="preserve"> СЕССИЯ </w:t>
      </w:r>
      <w:r w:rsidRPr="000C7C64">
        <w:rPr>
          <w:lang w:val="en-US"/>
        </w:rPr>
        <w:t>V</w:t>
      </w:r>
      <w:r w:rsidRPr="000C7C64">
        <w:t xml:space="preserve"> СОЗЫВА</w:t>
      </w:r>
    </w:p>
    <w:p w:rsidR="006770D3" w:rsidRPr="000C7C64" w:rsidRDefault="006770D3">
      <w:pPr>
        <w:jc w:val="center"/>
      </w:pPr>
    </w:p>
    <w:p w:rsidR="006770D3" w:rsidRPr="000C7C64" w:rsidRDefault="003E5957">
      <w:pPr>
        <w:jc w:val="center"/>
      </w:pPr>
      <w:r w:rsidRPr="000C7C64">
        <w:t xml:space="preserve">        </w:t>
      </w:r>
      <w:proofErr w:type="gramStart"/>
      <w:r w:rsidRPr="000C7C64">
        <w:t>Р</w:t>
      </w:r>
      <w:proofErr w:type="gramEnd"/>
      <w:r w:rsidRPr="000C7C64">
        <w:t xml:space="preserve"> Е Ш Е Н И Е                                        </w:t>
      </w:r>
    </w:p>
    <w:p w:rsidR="006770D3" w:rsidRPr="000C7C64" w:rsidRDefault="006770D3">
      <w:pPr>
        <w:jc w:val="both"/>
      </w:pPr>
    </w:p>
    <w:p w:rsidR="006770D3" w:rsidRPr="000C7C64" w:rsidRDefault="003E5957">
      <w:pPr>
        <w:jc w:val="both"/>
      </w:pPr>
      <w:r w:rsidRPr="000C7C64">
        <w:t xml:space="preserve"> 6 октября 2023 года</w:t>
      </w:r>
      <w:r w:rsidRPr="000C7C64">
        <w:tab/>
      </w:r>
      <w:r w:rsidRPr="000C7C64">
        <w:tab/>
      </w:r>
      <w:r w:rsidRPr="000C7C64">
        <w:tab/>
      </w:r>
      <w:r w:rsidRPr="000C7C64">
        <w:tab/>
      </w:r>
      <w:r w:rsidRPr="000C7C64">
        <w:tab/>
        <w:t xml:space="preserve">             </w:t>
      </w:r>
      <w:r w:rsidRPr="000C7C64">
        <w:tab/>
        <w:t xml:space="preserve">                 № </w:t>
      </w:r>
      <w:r w:rsidR="00AF1DF0">
        <w:t xml:space="preserve"> 7/25</w:t>
      </w:r>
      <w:bookmarkStart w:id="0" w:name="_GoBack"/>
      <w:bookmarkEnd w:id="0"/>
      <w:r w:rsidR="00EE6ADA">
        <w:t>-5</w:t>
      </w:r>
    </w:p>
    <w:p w:rsidR="006770D3" w:rsidRPr="000C7C64" w:rsidRDefault="003E5957">
      <w:pPr>
        <w:jc w:val="both"/>
      </w:pPr>
      <w:r w:rsidRPr="000C7C64">
        <w:t xml:space="preserve">  пос. Элисенваара</w:t>
      </w:r>
    </w:p>
    <w:p w:rsidR="006770D3" w:rsidRPr="000C7C64" w:rsidRDefault="003E5957">
      <w:r w:rsidRPr="000C7C64">
        <w:t xml:space="preserve">                   </w:t>
      </w:r>
    </w:p>
    <w:p w:rsidR="006770D3" w:rsidRPr="000C7C64" w:rsidRDefault="006770D3">
      <w:pPr>
        <w:jc w:val="center"/>
        <w:rPr>
          <w:b/>
        </w:rPr>
      </w:pPr>
    </w:p>
    <w:p w:rsidR="006770D3" w:rsidRPr="000C7C64" w:rsidRDefault="003E5957">
      <w:pPr>
        <w:pStyle w:val="1"/>
        <w:ind w:right="4296"/>
        <w:jc w:val="both"/>
        <w:rPr>
          <w:b w:val="0"/>
        </w:rPr>
      </w:pPr>
      <w:r w:rsidRPr="000C7C64">
        <w:rPr>
          <w:b w:val="0"/>
        </w:rPr>
        <w:t xml:space="preserve">Об утверждении Порядка осуществления внешней проверки годового отчёта об исполнении бюджета Элисенваарского сельского поселения </w:t>
      </w:r>
    </w:p>
    <w:p w:rsidR="006770D3" w:rsidRPr="000C7C64" w:rsidRDefault="006770D3"/>
    <w:p w:rsidR="006770D3" w:rsidRPr="000C7C64" w:rsidRDefault="006770D3"/>
    <w:p w:rsidR="006770D3" w:rsidRPr="000C7C64" w:rsidRDefault="003E5957">
      <w:r w:rsidRPr="000C7C64">
        <w:t xml:space="preserve">В соответствии со </w:t>
      </w:r>
      <w:hyperlink r:id="rId8" w:history="1">
        <w:r w:rsidRPr="000C7C64">
          <w:rPr>
            <w:rStyle w:val="af2"/>
            <w:rFonts w:cs="Times New Roman CYR"/>
            <w:color w:val="auto"/>
          </w:rPr>
          <w:t>статьей 264.4</w:t>
        </w:r>
      </w:hyperlink>
      <w:r w:rsidRPr="000C7C64">
        <w:t xml:space="preserve"> Бюджетного кодекса Российской Федерации, </w:t>
      </w:r>
      <w:hyperlink r:id="rId9" w:history="1">
        <w:r w:rsidRPr="000C7C64">
          <w:rPr>
            <w:rStyle w:val="af2"/>
            <w:rFonts w:cs="Times New Roman CYR"/>
            <w:color w:val="auto"/>
          </w:rPr>
          <w:t>Федеральным законом</w:t>
        </w:r>
      </w:hyperlink>
      <w:r w:rsidRPr="000C7C64">
        <w:t xml:space="preserve"> от 07.02.2011 N 6-ФЗ "Об общих принципах организации и деятельности контрольно-счётных органов субъектов Российской Федерации и муниципальных образований", Совет Элисенваарского сельского поселения </w:t>
      </w:r>
      <w:proofErr w:type="gramStart"/>
      <w:r w:rsidRPr="000C7C64">
        <w:t>Р</w:t>
      </w:r>
      <w:proofErr w:type="gramEnd"/>
      <w:r w:rsidRPr="000C7C64">
        <w:t xml:space="preserve"> Е Ш И Л:</w:t>
      </w:r>
    </w:p>
    <w:p w:rsidR="006770D3" w:rsidRPr="000C7C64" w:rsidRDefault="006770D3"/>
    <w:p w:rsidR="006770D3" w:rsidRPr="000C7C64" w:rsidRDefault="006770D3"/>
    <w:p w:rsidR="006770D3" w:rsidRPr="000C7C64" w:rsidRDefault="003E5957">
      <w:pPr>
        <w:ind w:firstLine="709"/>
      </w:pPr>
      <w:r w:rsidRPr="000C7C64">
        <w:t>1. Утвердить Порядок осуществления внешней проверки годового отчета об исполнении бюджета Элисенваарского сельского поселения.</w:t>
      </w:r>
    </w:p>
    <w:p w:rsidR="006770D3" w:rsidRPr="000C7C64" w:rsidRDefault="003E5957">
      <w:pPr>
        <w:ind w:firstLine="709"/>
      </w:pPr>
      <w:r w:rsidRPr="000C7C64">
        <w:t xml:space="preserve">2. Обнародовать настоящее Решение путем размещения его на официальном сайте органов местного самоуправления Элисенваарского сельского поселения. </w:t>
      </w:r>
    </w:p>
    <w:p w:rsidR="006770D3" w:rsidRPr="000C7C64" w:rsidRDefault="003E5957">
      <w:pPr>
        <w:ind w:firstLine="709"/>
        <w:rPr>
          <w:color w:val="FF0000"/>
        </w:rPr>
      </w:pPr>
      <w:r w:rsidRPr="000C7C64">
        <w:t>3. Настоящее решение вступает в силу с момента его официального обнародования.</w:t>
      </w:r>
    </w:p>
    <w:p w:rsidR="006770D3" w:rsidRPr="000C7C64" w:rsidRDefault="006770D3">
      <w:pPr>
        <w:ind w:firstLine="709"/>
      </w:pPr>
    </w:p>
    <w:p w:rsidR="006770D3" w:rsidRPr="000C7C64" w:rsidRDefault="006770D3">
      <w:pPr>
        <w:ind w:firstLine="709"/>
      </w:pPr>
    </w:p>
    <w:p w:rsidR="006770D3" w:rsidRPr="000C7C64" w:rsidRDefault="006770D3">
      <w:pPr>
        <w:ind w:firstLine="709"/>
      </w:pPr>
    </w:p>
    <w:p w:rsidR="006770D3" w:rsidRPr="000C7C64" w:rsidRDefault="006770D3">
      <w:pPr>
        <w:ind w:firstLine="709"/>
      </w:pPr>
    </w:p>
    <w:p w:rsidR="006770D3" w:rsidRPr="000C7C64" w:rsidRDefault="006770D3">
      <w:pPr>
        <w:ind w:firstLine="709"/>
      </w:pPr>
    </w:p>
    <w:p w:rsidR="006770D3" w:rsidRPr="000C7C64" w:rsidRDefault="003E5957">
      <w:r w:rsidRPr="000C7C64">
        <w:t xml:space="preserve">Председатель Совета </w:t>
      </w:r>
    </w:p>
    <w:p w:rsidR="006770D3" w:rsidRPr="000C7C64" w:rsidRDefault="003E5957">
      <w:r w:rsidRPr="000C7C64">
        <w:t xml:space="preserve">Элисенваарского сельского поселения                                      </w:t>
      </w:r>
      <w:r w:rsidR="00EE6ADA">
        <w:t xml:space="preserve">                       </w:t>
      </w:r>
      <w:proofErr w:type="spellStart"/>
      <w:r w:rsidR="00EE6ADA">
        <w:t>Р.С.Захаров</w:t>
      </w:r>
      <w:proofErr w:type="spellEnd"/>
      <w:r w:rsidRPr="000C7C64">
        <w:t xml:space="preserve">                 </w:t>
      </w:r>
    </w:p>
    <w:p w:rsidR="006770D3" w:rsidRPr="000C7C64" w:rsidRDefault="006770D3"/>
    <w:p w:rsidR="006770D3" w:rsidRPr="000C7C64" w:rsidRDefault="003E5957">
      <w:r w:rsidRPr="000C7C64">
        <w:t>Глава</w:t>
      </w:r>
    </w:p>
    <w:p w:rsidR="006770D3" w:rsidRPr="000C7C64" w:rsidRDefault="003E5957">
      <w:pPr>
        <w:jc w:val="both"/>
      </w:pPr>
      <w:r w:rsidRPr="000C7C64">
        <w:t>Элисенваарского сельского поселения</w:t>
      </w:r>
      <w:r w:rsidRPr="000C7C64">
        <w:tab/>
      </w:r>
      <w:r w:rsidRPr="000C7C64">
        <w:tab/>
      </w:r>
      <w:r w:rsidRPr="000C7C64">
        <w:tab/>
      </w:r>
      <w:r w:rsidRPr="000C7C64">
        <w:tab/>
      </w:r>
      <w:r w:rsidRPr="000C7C64">
        <w:tab/>
        <w:t xml:space="preserve">        С.А. Орлов</w:t>
      </w:r>
    </w:p>
    <w:p w:rsidR="006770D3" w:rsidRPr="000C7C64" w:rsidRDefault="006770D3">
      <w:pPr>
        <w:ind w:firstLine="709"/>
      </w:pPr>
    </w:p>
    <w:p w:rsidR="006770D3" w:rsidRPr="000C7C64" w:rsidRDefault="006770D3">
      <w:pPr>
        <w:ind w:firstLine="709"/>
        <w:jc w:val="right"/>
      </w:pPr>
    </w:p>
    <w:p w:rsidR="006770D3" w:rsidRDefault="006770D3">
      <w:pPr>
        <w:ind w:firstLine="709"/>
        <w:jc w:val="right"/>
        <w:rPr>
          <w:sz w:val="28"/>
          <w:szCs w:val="28"/>
        </w:rPr>
      </w:pPr>
    </w:p>
    <w:p w:rsidR="006770D3" w:rsidRDefault="006770D3">
      <w:pPr>
        <w:ind w:firstLine="709"/>
        <w:jc w:val="right"/>
        <w:rPr>
          <w:sz w:val="28"/>
          <w:szCs w:val="28"/>
        </w:rPr>
      </w:pPr>
    </w:p>
    <w:p w:rsidR="006770D3" w:rsidRDefault="006770D3">
      <w:pPr>
        <w:ind w:firstLine="709"/>
        <w:jc w:val="right"/>
        <w:rPr>
          <w:sz w:val="28"/>
          <w:szCs w:val="28"/>
        </w:rPr>
      </w:pPr>
    </w:p>
    <w:p w:rsidR="006770D3" w:rsidRDefault="006770D3">
      <w:pPr>
        <w:ind w:firstLine="709"/>
        <w:jc w:val="right"/>
        <w:rPr>
          <w:sz w:val="28"/>
          <w:szCs w:val="28"/>
        </w:rPr>
      </w:pPr>
    </w:p>
    <w:p w:rsidR="006770D3" w:rsidRDefault="006770D3">
      <w:pPr>
        <w:ind w:firstLine="709"/>
        <w:jc w:val="right"/>
        <w:rPr>
          <w:sz w:val="28"/>
          <w:szCs w:val="28"/>
        </w:rPr>
      </w:pPr>
    </w:p>
    <w:p w:rsidR="006770D3" w:rsidRDefault="006770D3">
      <w:pPr>
        <w:ind w:firstLine="709"/>
        <w:jc w:val="right"/>
        <w:rPr>
          <w:sz w:val="28"/>
          <w:szCs w:val="28"/>
        </w:rPr>
      </w:pPr>
    </w:p>
    <w:p w:rsidR="006770D3" w:rsidRDefault="006770D3">
      <w:pPr>
        <w:ind w:firstLine="709"/>
        <w:jc w:val="right"/>
        <w:rPr>
          <w:sz w:val="28"/>
          <w:szCs w:val="28"/>
        </w:rPr>
      </w:pPr>
    </w:p>
    <w:p w:rsidR="006770D3" w:rsidRDefault="006770D3">
      <w:pPr>
        <w:ind w:firstLine="709"/>
        <w:jc w:val="right"/>
        <w:rPr>
          <w:sz w:val="28"/>
          <w:szCs w:val="28"/>
        </w:rPr>
      </w:pPr>
    </w:p>
    <w:p w:rsidR="006770D3" w:rsidRDefault="006770D3">
      <w:pPr>
        <w:ind w:firstLine="709"/>
        <w:jc w:val="right"/>
        <w:rPr>
          <w:sz w:val="28"/>
          <w:szCs w:val="28"/>
        </w:rPr>
      </w:pPr>
    </w:p>
    <w:p w:rsidR="006770D3" w:rsidRDefault="006770D3">
      <w:pPr>
        <w:ind w:firstLine="709"/>
        <w:jc w:val="right"/>
        <w:rPr>
          <w:sz w:val="28"/>
          <w:szCs w:val="28"/>
        </w:rPr>
      </w:pPr>
    </w:p>
    <w:p w:rsidR="006770D3" w:rsidRDefault="003E5957">
      <w:pPr>
        <w:ind w:left="4320"/>
      </w:pPr>
      <w:r>
        <w:t>УТВЕРЖДЕН</w:t>
      </w:r>
    </w:p>
    <w:p w:rsidR="006770D3" w:rsidRDefault="003E5957">
      <w:pPr>
        <w:ind w:left="4320"/>
      </w:pPr>
      <w:r>
        <w:t>Решением Совета Элисенваар</w:t>
      </w:r>
      <w:r w:rsidR="00FC5EAC">
        <w:t>ского сельского поселения от «06» октября</w:t>
      </w:r>
      <w:r>
        <w:t xml:space="preserve"> 2023г. №</w:t>
      </w:r>
    </w:p>
    <w:p w:rsidR="006770D3" w:rsidRDefault="006770D3">
      <w:pPr>
        <w:ind w:left="4320"/>
      </w:pPr>
    </w:p>
    <w:p w:rsidR="006770D3" w:rsidRDefault="006770D3"/>
    <w:p w:rsidR="006770D3" w:rsidRDefault="006770D3"/>
    <w:p w:rsidR="006770D3" w:rsidRDefault="003E5957">
      <w:pPr>
        <w:ind w:firstLine="698"/>
        <w:jc w:val="center"/>
      </w:pPr>
      <w:r>
        <w:t>Порядок</w:t>
      </w:r>
    </w:p>
    <w:p w:rsidR="006770D3" w:rsidRDefault="003E5957">
      <w:pPr>
        <w:ind w:firstLine="698"/>
        <w:jc w:val="center"/>
      </w:pPr>
      <w:r>
        <w:t>осуществления внешней проверки годового отчёта</w:t>
      </w:r>
    </w:p>
    <w:p w:rsidR="006770D3" w:rsidRDefault="003E5957">
      <w:pPr>
        <w:jc w:val="center"/>
      </w:pPr>
      <w:r>
        <w:t xml:space="preserve">об исполнении бюджета Элисенваарского сельского поселения </w:t>
      </w:r>
    </w:p>
    <w:p w:rsidR="006770D3" w:rsidRDefault="006770D3"/>
    <w:p w:rsidR="006770D3" w:rsidRDefault="003E5957">
      <w:pPr>
        <w:jc w:val="center"/>
      </w:pPr>
      <w:r>
        <w:t>1. Общие положения</w:t>
      </w:r>
    </w:p>
    <w:p w:rsidR="006770D3" w:rsidRDefault="006770D3"/>
    <w:p w:rsidR="006770D3" w:rsidRDefault="003E5957" w:rsidP="00FC5EAC">
      <w:pPr>
        <w:ind w:firstLine="709"/>
        <w:jc w:val="both"/>
      </w:pPr>
      <w:r>
        <w:t xml:space="preserve">1.1. Настоящий Порядок разработан в соответствии со </w:t>
      </w:r>
      <w:hyperlink r:id="rId10" w:history="1">
        <w:r>
          <w:rPr>
            <w:rStyle w:val="af2"/>
            <w:rFonts w:cs="Times New Roman CYR"/>
            <w:color w:val="auto"/>
          </w:rPr>
          <w:t>статьей 264.4</w:t>
        </w:r>
      </w:hyperlink>
      <w:r>
        <w:t xml:space="preserve"> Бюджетного кодекса Российской Федерации в целях применения при организации и проведении внешней проверки годового отчета об исполнении бюджета Элисенваарского сельского поселения (далее - внешняя проверка годового отчета).</w:t>
      </w:r>
    </w:p>
    <w:p w:rsidR="006770D3" w:rsidRDefault="003E5957" w:rsidP="00FC5EAC">
      <w:pPr>
        <w:ind w:firstLine="709"/>
        <w:jc w:val="both"/>
      </w:pPr>
      <w:r>
        <w:t>1.2. Внешняя проверка годового отчета осуществляется контрольно-счетным органом Элисенваарского сельского поселения (далее - контрольно-счетный орган).</w:t>
      </w:r>
    </w:p>
    <w:p w:rsidR="006770D3" w:rsidRDefault="003E5957" w:rsidP="00FC5EAC">
      <w:pPr>
        <w:ind w:firstLine="709"/>
        <w:jc w:val="both"/>
      </w:pPr>
      <w:r>
        <w:t>В случае заключения соглашения с Администрацией Лахденпохского муниципального района о передаче контрольно-счетному органу Лахденпохского муниципального района полномочий контрольно-счетного органа Элисенваарского сельского поселения по осуществлению внешнего муниципального финансового контроля (далее - Соглашение), внешняя проверка осуществляется контрольно-счетным органом Лахденпохского муниципального района.</w:t>
      </w:r>
    </w:p>
    <w:p w:rsidR="006770D3" w:rsidRDefault="003E5957" w:rsidP="00FC5EAC">
      <w:pPr>
        <w:ind w:firstLine="709"/>
        <w:jc w:val="both"/>
      </w:pPr>
      <w:r>
        <w:t>1.3. Предметом внешней проверки годового отчета является:</w:t>
      </w:r>
    </w:p>
    <w:p w:rsidR="006770D3" w:rsidRDefault="003E5957" w:rsidP="00FC5EAC">
      <w:pPr>
        <w:ind w:firstLine="709"/>
        <w:jc w:val="both"/>
      </w:pPr>
      <w:r>
        <w:t>1) годовой отчет об исполнении бюджета за отчетный финансовый год;</w:t>
      </w:r>
    </w:p>
    <w:p w:rsidR="006770D3" w:rsidRDefault="003E5957" w:rsidP="00FC5EAC">
      <w:pPr>
        <w:ind w:firstLine="709"/>
        <w:jc w:val="both"/>
      </w:pPr>
      <w:r>
        <w:t>2) годовая бюджетная отчетность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(далее - главные администраторы бюджетных средств).</w:t>
      </w:r>
    </w:p>
    <w:p w:rsidR="006770D3" w:rsidRDefault="003E5957" w:rsidP="00FC5EAC">
      <w:pPr>
        <w:ind w:firstLine="709"/>
        <w:jc w:val="both"/>
      </w:pPr>
      <w:r>
        <w:t>1.4. Объектами внешней проверки годового отчета являются главные администраторы бюджетных средств.</w:t>
      </w:r>
    </w:p>
    <w:p w:rsidR="006770D3" w:rsidRDefault="003E5957" w:rsidP="00FC5EAC">
      <w:pPr>
        <w:ind w:firstLine="709"/>
        <w:jc w:val="both"/>
      </w:pPr>
      <w:r>
        <w:t xml:space="preserve">1.5. Целью внешней проверки годового отчета является </w:t>
      </w:r>
      <w:proofErr w:type="gramStart"/>
      <w:r>
        <w:t>контроль за</w:t>
      </w:r>
      <w:proofErr w:type="gramEnd"/>
      <w:r>
        <w:t xml:space="preserve"> достоверностью, полнотой и соответствием нормативным требованиям составления и представления годового отчета об исполнении бюджета.</w:t>
      </w:r>
    </w:p>
    <w:p w:rsidR="006770D3" w:rsidRDefault="003E5957" w:rsidP="00FC5EAC">
      <w:pPr>
        <w:ind w:firstLine="709"/>
        <w:jc w:val="both"/>
      </w:pPr>
      <w:r>
        <w:t>1.6. Задачами внешней проверки годового отчета являются:</w:t>
      </w:r>
    </w:p>
    <w:p w:rsidR="006770D3" w:rsidRDefault="003E5957" w:rsidP="00FC5EAC">
      <w:pPr>
        <w:ind w:firstLine="709"/>
        <w:jc w:val="both"/>
      </w:pPr>
      <w:r>
        <w:t>1) проверка соблюдения требований к порядку составления и представления годовой бюджетной отчетности об исполнении бюджета;</w:t>
      </w:r>
    </w:p>
    <w:p w:rsidR="006770D3" w:rsidRDefault="003E5957" w:rsidP="00FC5EAC">
      <w:pPr>
        <w:ind w:firstLine="709"/>
        <w:jc w:val="both"/>
      </w:pPr>
      <w:r>
        <w:t>2) проверка и анализ исполнения бюджета по данным годового отчета;</w:t>
      </w:r>
    </w:p>
    <w:p w:rsidR="006770D3" w:rsidRDefault="003E5957" w:rsidP="00FC5EAC">
      <w:pPr>
        <w:ind w:firstLine="709"/>
        <w:jc w:val="both"/>
      </w:pPr>
      <w:r>
        <w:t>3) установление соответствия фактического исполнения бюджета его плановым назначениям, установленным решением Совета Элисенваарского сельского поселения о бюджете Элисенваарского сельского поселения на текущий финансовый год;</w:t>
      </w:r>
    </w:p>
    <w:p w:rsidR="006770D3" w:rsidRDefault="003E5957" w:rsidP="00FC5EAC">
      <w:pPr>
        <w:ind w:firstLine="709"/>
        <w:jc w:val="both"/>
      </w:pPr>
      <w:r>
        <w:t>4) проверка соблюдения требований (ограничений) законодательства по основным параметрам (показателям) бюджета;</w:t>
      </w:r>
    </w:p>
    <w:p w:rsidR="006770D3" w:rsidRDefault="003E5957" w:rsidP="00FC5EAC">
      <w:pPr>
        <w:ind w:firstLine="709"/>
        <w:jc w:val="both"/>
      </w:pPr>
      <w:r>
        <w:t xml:space="preserve">5) выявление нарушений и отклонений в процессах исполнения бюджета, своевременное предупреждение факторов, способных негативно повлиять на реализацию бюджетного процесса в </w:t>
      </w:r>
      <w:proofErr w:type="spellStart"/>
      <w:r>
        <w:t>Элисенваарском</w:t>
      </w:r>
      <w:proofErr w:type="spellEnd"/>
      <w:r>
        <w:t xml:space="preserve"> сельском поселении;</w:t>
      </w:r>
    </w:p>
    <w:p w:rsidR="006770D3" w:rsidRDefault="003E5957" w:rsidP="00FC5EAC">
      <w:pPr>
        <w:ind w:firstLine="709"/>
        <w:jc w:val="both"/>
      </w:pPr>
      <w:r>
        <w:t xml:space="preserve">6) решение прочих экспертно-аналитических задач, направленных </w:t>
      </w:r>
      <w:proofErr w:type="gramStart"/>
      <w:r>
        <w:t>на</w:t>
      </w:r>
      <w:proofErr w:type="gramEnd"/>
      <w:r>
        <w:t xml:space="preserve"> совершенствование бюджетного процесса в целом;</w:t>
      </w:r>
    </w:p>
    <w:p w:rsidR="006770D3" w:rsidRDefault="003E5957" w:rsidP="00FC5EAC">
      <w:pPr>
        <w:ind w:firstLine="709"/>
        <w:jc w:val="both"/>
      </w:pPr>
      <w:r>
        <w:t>7) подготовка заключения на годовой отчет об исполнении бюджета.</w:t>
      </w:r>
    </w:p>
    <w:p w:rsidR="006770D3" w:rsidRDefault="006770D3" w:rsidP="00FC5EAC">
      <w:pPr>
        <w:ind w:firstLine="709"/>
        <w:jc w:val="both"/>
      </w:pPr>
    </w:p>
    <w:p w:rsidR="006770D3" w:rsidRDefault="006770D3" w:rsidP="00FC5EAC">
      <w:pPr>
        <w:ind w:firstLine="709"/>
        <w:jc w:val="both"/>
      </w:pPr>
    </w:p>
    <w:p w:rsidR="006770D3" w:rsidRDefault="006770D3" w:rsidP="00FC5EAC">
      <w:pPr>
        <w:ind w:firstLine="709"/>
        <w:jc w:val="both"/>
      </w:pPr>
    </w:p>
    <w:p w:rsidR="006770D3" w:rsidRDefault="003E5957" w:rsidP="00FC5EAC">
      <w:pPr>
        <w:ind w:firstLine="709"/>
        <w:jc w:val="both"/>
      </w:pPr>
      <w:r>
        <w:lastRenderedPageBreak/>
        <w:t>2. Формы и методы осуществления внешней проверки годового отчета</w:t>
      </w:r>
    </w:p>
    <w:p w:rsidR="006770D3" w:rsidRDefault="006770D3" w:rsidP="00FC5EAC">
      <w:pPr>
        <w:ind w:firstLine="709"/>
        <w:jc w:val="both"/>
      </w:pPr>
    </w:p>
    <w:p w:rsidR="006770D3" w:rsidRDefault="003E5957" w:rsidP="00FC5EAC">
      <w:pPr>
        <w:ind w:firstLine="709"/>
        <w:jc w:val="both"/>
      </w:pPr>
      <w:r>
        <w:t>2.1. Внешняя проверка годового отчета осуществляется в форме экспертно-аналитических мероприятий (экспертиз) по анализу данных бюджетной отчетности и иной информации об исполнении бюджета на основании представленных документов (информации).</w:t>
      </w:r>
    </w:p>
    <w:p w:rsidR="006770D3" w:rsidRDefault="003E5957" w:rsidP="00FC5EAC">
      <w:pPr>
        <w:ind w:firstLine="709"/>
        <w:jc w:val="both"/>
      </w:pPr>
      <w:r>
        <w:t>2.2. Методы осуществления внешней проверки годового отчета:</w:t>
      </w:r>
    </w:p>
    <w:p w:rsidR="006770D3" w:rsidRDefault="003E5957" w:rsidP="00FC5EAC">
      <w:pPr>
        <w:ind w:firstLine="709"/>
        <w:jc w:val="both"/>
      </w:pPr>
      <w:r>
        <w:t>- сплошная проверка;</w:t>
      </w:r>
    </w:p>
    <w:p w:rsidR="006770D3" w:rsidRDefault="003E5957" w:rsidP="00FC5EAC">
      <w:pPr>
        <w:ind w:firstLine="709"/>
        <w:jc w:val="both"/>
      </w:pPr>
      <w:r>
        <w:t>- выборочная проверка (отбор отдельных элементов).</w:t>
      </w:r>
    </w:p>
    <w:p w:rsidR="006770D3" w:rsidRDefault="003E5957" w:rsidP="00FC5EAC">
      <w:pPr>
        <w:ind w:firstLine="709"/>
        <w:jc w:val="both"/>
      </w:pPr>
      <w:r>
        <w:t>Определение метода осуществления внешней проверки годового отчета зависит от результатов предварительного изучения, оценки надежности системы внутреннего контроля, рисков, а также возможностей организационного, материально-технического и кадрового обеспечения Контрольно-счётного органа.</w:t>
      </w:r>
    </w:p>
    <w:p w:rsidR="006770D3" w:rsidRDefault="003E5957" w:rsidP="00FC5EAC">
      <w:pPr>
        <w:ind w:firstLine="709"/>
        <w:jc w:val="both"/>
      </w:pPr>
      <w:r>
        <w:t>2.3. Основным методологическим принципом является сопоставление информации, полученной по конкретным видам доходов, направлениям расходования средств бюджета, с данными, содержащимися в бухгалтерских, отчетных и иных документах проверяемых объектов.</w:t>
      </w:r>
    </w:p>
    <w:p w:rsidR="006770D3" w:rsidRDefault="003E5957" w:rsidP="00FC5EAC">
      <w:pPr>
        <w:ind w:firstLine="709"/>
        <w:jc w:val="both"/>
      </w:pPr>
      <w:r>
        <w:t>Возможно сопоставление данных за предыдущие периоды.</w:t>
      </w:r>
    </w:p>
    <w:p w:rsidR="006770D3" w:rsidRDefault="006770D3" w:rsidP="00FC5EAC">
      <w:pPr>
        <w:ind w:firstLine="709"/>
        <w:jc w:val="both"/>
      </w:pPr>
    </w:p>
    <w:p w:rsidR="006770D3" w:rsidRDefault="003E5957" w:rsidP="00FC5EAC">
      <w:pPr>
        <w:ind w:firstLine="709"/>
        <w:jc w:val="both"/>
      </w:pPr>
      <w:r>
        <w:t>3. Организация внешней проверки годового отчета</w:t>
      </w:r>
    </w:p>
    <w:p w:rsidR="006770D3" w:rsidRDefault="006770D3" w:rsidP="00FC5EAC">
      <w:pPr>
        <w:ind w:firstLine="709"/>
        <w:jc w:val="both"/>
      </w:pPr>
    </w:p>
    <w:p w:rsidR="006770D3" w:rsidRDefault="003E5957" w:rsidP="00FC5EAC">
      <w:pPr>
        <w:ind w:firstLine="709"/>
        <w:jc w:val="both"/>
      </w:pPr>
      <w:r>
        <w:t>3.1. Внешняя проверка годового отчета проводится на основании плана работы Контрольно-счетного органа на текущий год.</w:t>
      </w:r>
    </w:p>
    <w:p w:rsidR="006770D3" w:rsidRDefault="003E5957" w:rsidP="00FC5EAC">
      <w:pPr>
        <w:ind w:firstLine="709"/>
        <w:jc w:val="both"/>
      </w:pPr>
      <w:r>
        <w:t>3.2. Внешняя проверка годового отчета включает в себя:</w:t>
      </w:r>
    </w:p>
    <w:p w:rsidR="006770D3" w:rsidRDefault="003E5957" w:rsidP="00FC5EAC">
      <w:pPr>
        <w:ind w:firstLine="709"/>
        <w:jc w:val="both"/>
      </w:pPr>
      <w:r>
        <w:t>- проверку бюджетной отчетности;</w:t>
      </w:r>
    </w:p>
    <w:p w:rsidR="006770D3" w:rsidRDefault="003E5957" w:rsidP="00FC5EAC">
      <w:pPr>
        <w:ind w:firstLine="709"/>
        <w:jc w:val="both"/>
      </w:pPr>
      <w:r>
        <w:t>- проверку годового отчета об исполнении бюджета;</w:t>
      </w:r>
    </w:p>
    <w:p w:rsidR="006770D3" w:rsidRDefault="003E5957" w:rsidP="00FC5EAC">
      <w:pPr>
        <w:ind w:firstLine="709"/>
        <w:jc w:val="both"/>
      </w:pPr>
      <w:r>
        <w:t>- подготовку заключения на годовой отчет.</w:t>
      </w:r>
    </w:p>
    <w:p w:rsidR="006770D3" w:rsidRDefault="003E5957" w:rsidP="00FC5EAC">
      <w:pPr>
        <w:ind w:firstLine="709"/>
        <w:jc w:val="both"/>
      </w:pPr>
      <w:r>
        <w:t>3.3. Организация внешней проверки годового отчета включает следующие этапы:</w:t>
      </w:r>
    </w:p>
    <w:p w:rsidR="006770D3" w:rsidRDefault="003E5957" w:rsidP="00FC5EAC">
      <w:pPr>
        <w:ind w:firstLine="709"/>
        <w:jc w:val="both"/>
      </w:pPr>
      <w:r>
        <w:t>- подготовительный;</w:t>
      </w:r>
    </w:p>
    <w:p w:rsidR="006770D3" w:rsidRDefault="003E5957" w:rsidP="00FC5EAC">
      <w:pPr>
        <w:ind w:firstLine="709"/>
        <w:jc w:val="both"/>
      </w:pPr>
      <w:r>
        <w:t>- основной;</w:t>
      </w:r>
    </w:p>
    <w:p w:rsidR="006770D3" w:rsidRDefault="003E5957" w:rsidP="00FC5EAC">
      <w:pPr>
        <w:ind w:firstLine="709"/>
        <w:jc w:val="both"/>
      </w:pPr>
      <w:r>
        <w:t>- заключительный.</w:t>
      </w:r>
    </w:p>
    <w:p w:rsidR="006770D3" w:rsidRDefault="003E5957" w:rsidP="00FC5EAC">
      <w:pPr>
        <w:ind w:firstLine="709"/>
        <w:jc w:val="both"/>
      </w:pPr>
      <w:r>
        <w:t>3.4. На подготовительном этапе:</w:t>
      </w:r>
    </w:p>
    <w:p w:rsidR="006770D3" w:rsidRDefault="003E5957" w:rsidP="00FC5EAC">
      <w:pPr>
        <w:ind w:firstLine="709"/>
        <w:jc w:val="both"/>
      </w:pPr>
      <w:r>
        <w:t>- проводится сбор и изучение правовой базы, в соответствии с которой должен был исполняться бюджет;</w:t>
      </w:r>
    </w:p>
    <w:p w:rsidR="006770D3" w:rsidRDefault="003E5957" w:rsidP="00FC5EAC">
      <w:pPr>
        <w:ind w:firstLine="709"/>
        <w:jc w:val="both"/>
      </w:pPr>
      <w:r>
        <w:t>- проводится изучение полученной информации и сведений по запросам, итогов осуществления контрольных мероприятий в течение года.</w:t>
      </w:r>
    </w:p>
    <w:p w:rsidR="006770D3" w:rsidRDefault="003E5957" w:rsidP="00FC5EAC">
      <w:pPr>
        <w:ind w:firstLine="709"/>
        <w:jc w:val="both"/>
      </w:pPr>
      <w:r>
        <w:t>3.5. Основной этап внешней проверки годового отчета включает в себя:</w:t>
      </w:r>
    </w:p>
    <w:p w:rsidR="006770D3" w:rsidRDefault="003E5957" w:rsidP="00FC5EAC">
      <w:pPr>
        <w:ind w:firstLine="709"/>
        <w:jc w:val="both"/>
      </w:pPr>
      <w:r>
        <w:t>- анализ данных бюджетной отчетности главных администраторов бюджетных средств;</w:t>
      </w:r>
    </w:p>
    <w:p w:rsidR="006770D3" w:rsidRDefault="003E5957" w:rsidP="00FC5EAC">
      <w:pPr>
        <w:ind w:firstLine="709"/>
        <w:jc w:val="both"/>
      </w:pPr>
      <w:r>
        <w:t>- анализ данных годового отчета об исполнении бюджета.</w:t>
      </w:r>
    </w:p>
    <w:p w:rsidR="006770D3" w:rsidRDefault="003E5957" w:rsidP="00FC5EAC">
      <w:pPr>
        <w:ind w:firstLine="709"/>
        <w:jc w:val="both"/>
      </w:pPr>
      <w:r>
        <w:t>3.6. На заключительном этапе оформляется заключение Контрольно-счетного органа на годовой отчет об исполнении бюджета.</w:t>
      </w:r>
    </w:p>
    <w:p w:rsidR="006770D3" w:rsidRDefault="006770D3" w:rsidP="00FC5EAC">
      <w:pPr>
        <w:ind w:firstLine="709"/>
        <w:jc w:val="both"/>
      </w:pPr>
    </w:p>
    <w:p w:rsidR="006770D3" w:rsidRDefault="003E5957" w:rsidP="00FC5EAC">
      <w:pPr>
        <w:ind w:firstLine="709"/>
        <w:jc w:val="both"/>
      </w:pPr>
      <w:r>
        <w:t>4. Основные принципы и требования к осуществлению внешней проверки годового отчета</w:t>
      </w:r>
    </w:p>
    <w:p w:rsidR="006770D3" w:rsidRDefault="006770D3" w:rsidP="00FC5EAC">
      <w:pPr>
        <w:ind w:firstLine="709"/>
        <w:jc w:val="both"/>
      </w:pPr>
    </w:p>
    <w:p w:rsidR="006770D3" w:rsidRDefault="003E5957" w:rsidP="00FC5EAC">
      <w:pPr>
        <w:ind w:firstLine="709"/>
        <w:jc w:val="both"/>
      </w:pPr>
      <w:r>
        <w:t>4.1. Годовой отчет об исполнении бюджета, годовая бюджетная отчетность главных администраторов бюджетных средств (с отметкой о принятии администрацией Лахденпохского муниципального района) в срок не позднее 01 апреля текущего финансового года представляется в Контрольно-счетный орган в электронном виде.</w:t>
      </w:r>
    </w:p>
    <w:p w:rsidR="006770D3" w:rsidRDefault="003E5957" w:rsidP="00FC5EAC">
      <w:pPr>
        <w:ind w:firstLine="709"/>
        <w:jc w:val="both"/>
      </w:pPr>
      <w:r>
        <w:t>4.2. Внешняя проверка годового отчета проводится в срок, не превышающий одного месяца со дня представления документов в Контрольно-счетный орган.</w:t>
      </w:r>
    </w:p>
    <w:p w:rsidR="006770D3" w:rsidRDefault="003E5957" w:rsidP="00FC5EAC">
      <w:pPr>
        <w:ind w:firstLine="709"/>
        <w:jc w:val="both"/>
      </w:pPr>
      <w:r>
        <w:lastRenderedPageBreak/>
        <w:t xml:space="preserve">4.3. По итогам внешней проверки годового отчета Контрольно-счетный орган в пределах срока, указанного в подпункте 2 настоящего пункта готовит заключение на годовой отчет с учетом данных внешней проверки годовой бюджетной отчетности </w:t>
      </w:r>
    </w:p>
    <w:p w:rsidR="006770D3" w:rsidRDefault="006770D3" w:rsidP="00FC5EAC">
      <w:pPr>
        <w:ind w:firstLine="709"/>
        <w:jc w:val="both"/>
      </w:pPr>
    </w:p>
    <w:p w:rsidR="006770D3" w:rsidRDefault="003E5957" w:rsidP="00FC5EAC">
      <w:pPr>
        <w:jc w:val="both"/>
      </w:pPr>
      <w:r>
        <w:t>главных администраторов бюджетных средств. Заключение на годовой отчет подписывается председателем Контрольно-счетного органа и представляется в Совет Элисенваарского сельского поселения.</w:t>
      </w:r>
    </w:p>
    <w:p w:rsidR="006770D3" w:rsidRDefault="003E5957" w:rsidP="00FC5EAC">
      <w:pPr>
        <w:ind w:firstLine="709"/>
        <w:jc w:val="both"/>
      </w:pPr>
      <w:r>
        <w:t>4.4. При осуществлении внешней проверки годового отчета необходимо руководствоваться нормами бюджетного законодательства Российской Федерации, Республики Карелия и муниципальными правовыми актами Элисенваарского сельского поселения.</w:t>
      </w:r>
    </w:p>
    <w:p w:rsidR="006770D3" w:rsidRDefault="003E5957" w:rsidP="00FC5EAC">
      <w:pPr>
        <w:ind w:firstLine="709"/>
        <w:jc w:val="both"/>
      </w:pPr>
      <w:r>
        <w:t>4.5. С целью получения достаточных надлежащих доказательств, необходимых для формулирования обоснованных выводов и формирования заключения на годовой отчет, Контрольно-счетный орган вправе в пределах своих полномочий запрашивать дополнительную информацию и документы у участников бюджетного процесса. Запрашиваемая дополнительная информация и документы представляются в срок, установленный Контрольно-счетным органом.</w:t>
      </w:r>
    </w:p>
    <w:p w:rsidR="006770D3" w:rsidRDefault="003E5957" w:rsidP="00FC5EAC">
      <w:pPr>
        <w:ind w:firstLine="709"/>
        <w:jc w:val="both"/>
      </w:pPr>
      <w:r>
        <w:t>4.6. Ответственные лица Контрольно-счетного органа по проверке годового отчета вправе получать письменные разъяснения от руководителей проверяемых объектов по всем вопросам, являющимся существенными для целей внешней проверки годового отчета, если предполагается, что получить достаточные надлежащие доказательства другим путем не представляется возможным.</w:t>
      </w:r>
    </w:p>
    <w:sectPr w:rsidR="006770D3">
      <w:footerReference w:type="default" r:id="rId11"/>
      <w:pgSz w:w="11900" w:h="16800"/>
      <w:pgMar w:top="284" w:right="800"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3B3" w:rsidRDefault="004A23B3">
      <w:r>
        <w:separator/>
      </w:r>
    </w:p>
  </w:endnote>
  <w:endnote w:type="continuationSeparator" w:id="0">
    <w:p w:rsidR="004A23B3" w:rsidRDefault="004A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00"/>
    <w:family w:val="auto"/>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135"/>
      <w:gridCol w:w="3132"/>
      <w:gridCol w:w="3132"/>
    </w:tblGrid>
    <w:tr w:rsidR="006770D3">
      <w:tc>
        <w:tcPr>
          <w:tcW w:w="3433" w:type="dxa"/>
          <w:tcBorders>
            <w:top w:val="none" w:sz="4" w:space="0" w:color="000000"/>
            <w:left w:val="none" w:sz="4" w:space="0" w:color="000000"/>
            <w:bottom w:val="none" w:sz="4" w:space="0" w:color="000000"/>
            <w:right w:val="none" w:sz="4" w:space="0" w:color="000000"/>
          </w:tcBorders>
        </w:tcPr>
        <w:p w:rsidR="006770D3" w:rsidRDefault="006770D3">
          <w:pPr>
            <w:rPr>
              <w:sz w:val="20"/>
              <w:szCs w:val="20"/>
            </w:rPr>
          </w:pPr>
        </w:p>
      </w:tc>
      <w:tc>
        <w:tcPr>
          <w:tcW w:w="1666" w:type="pct"/>
          <w:tcBorders>
            <w:top w:val="none" w:sz="4" w:space="0" w:color="000000"/>
            <w:left w:val="none" w:sz="4" w:space="0" w:color="000000"/>
            <w:bottom w:val="none" w:sz="4" w:space="0" w:color="000000"/>
            <w:right w:val="none" w:sz="4" w:space="0" w:color="000000"/>
          </w:tcBorders>
        </w:tcPr>
        <w:p w:rsidR="006770D3" w:rsidRDefault="006770D3">
          <w:pPr>
            <w:jc w:val="center"/>
            <w:rPr>
              <w:sz w:val="20"/>
              <w:szCs w:val="20"/>
            </w:rPr>
          </w:pPr>
        </w:p>
      </w:tc>
      <w:tc>
        <w:tcPr>
          <w:tcW w:w="1666" w:type="pct"/>
          <w:tcBorders>
            <w:top w:val="none" w:sz="4" w:space="0" w:color="000000"/>
            <w:left w:val="none" w:sz="4" w:space="0" w:color="000000"/>
            <w:bottom w:val="none" w:sz="4" w:space="0" w:color="000000"/>
            <w:right w:val="none" w:sz="4" w:space="0" w:color="000000"/>
          </w:tcBorders>
        </w:tcPr>
        <w:p w:rsidR="006770D3" w:rsidRDefault="006770D3">
          <w:pPr>
            <w:jc w:val="right"/>
            <w:rPr>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3B3" w:rsidRDefault="004A23B3">
      <w:r>
        <w:separator/>
      </w:r>
    </w:p>
  </w:footnote>
  <w:footnote w:type="continuationSeparator" w:id="0">
    <w:p w:rsidR="004A23B3" w:rsidRDefault="004A23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F0779"/>
    <w:multiLevelType w:val="hybridMultilevel"/>
    <w:tmpl w:val="CE0E97A0"/>
    <w:lvl w:ilvl="0" w:tplc="6DC8EF5E">
      <w:start w:val="1"/>
      <w:numFmt w:val="bullet"/>
      <w:lvlText w:val=""/>
      <w:lvlJc w:val="left"/>
      <w:pPr>
        <w:ind w:left="720" w:hanging="360"/>
      </w:pPr>
      <w:rPr>
        <w:rFonts w:ascii="Symbol" w:hAnsi="Symbol"/>
      </w:rPr>
    </w:lvl>
    <w:lvl w:ilvl="1" w:tplc="8BDE298E">
      <w:start w:val="1"/>
      <w:numFmt w:val="decimal"/>
      <w:lvlText w:val=""/>
      <w:lvlJc w:val="left"/>
      <w:rPr>
        <w:rFonts w:cs="Times New Roman"/>
      </w:rPr>
    </w:lvl>
    <w:lvl w:ilvl="2" w:tplc="A7B2C316">
      <w:start w:val="1"/>
      <w:numFmt w:val="decimal"/>
      <w:lvlText w:val=""/>
      <w:lvlJc w:val="left"/>
      <w:rPr>
        <w:rFonts w:cs="Times New Roman"/>
      </w:rPr>
    </w:lvl>
    <w:lvl w:ilvl="3" w:tplc="BE7C2A70">
      <w:start w:val="1"/>
      <w:numFmt w:val="decimal"/>
      <w:lvlText w:val=""/>
      <w:lvlJc w:val="left"/>
      <w:rPr>
        <w:rFonts w:cs="Times New Roman"/>
      </w:rPr>
    </w:lvl>
    <w:lvl w:ilvl="4" w:tplc="8E6C4570">
      <w:start w:val="1"/>
      <w:numFmt w:val="decimal"/>
      <w:lvlText w:val=""/>
      <w:lvlJc w:val="left"/>
      <w:rPr>
        <w:rFonts w:cs="Times New Roman"/>
      </w:rPr>
    </w:lvl>
    <w:lvl w:ilvl="5" w:tplc="516A9E3A">
      <w:start w:val="1"/>
      <w:numFmt w:val="decimal"/>
      <w:lvlText w:val=""/>
      <w:lvlJc w:val="left"/>
      <w:rPr>
        <w:rFonts w:cs="Times New Roman"/>
      </w:rPr>
    </w:lvl>
    <w:lvl w:ilvl="6" w:tplc="C5DE6E70">
      <w:start w:val="1"/>
      <w:numFmt w:val="decimal"/>
      <w:lvlText w:val=""/>
      <w:lvlJc w:val="left"/>
      <w:rPr>
        <w:rFonts w:cs="Times New Roman"/>
      </w:rPr>
    </w:lvl>
    <w:lvl w:ilvl="7" w:tplc="4A6A2D88">
      <w:start w:val="1"/>
      <w:numFmt w:val="decimal"/>
      <w:lvlText w:val=""/>
      <w:lvlJc w:val="left"/>
      <w:rPr>
        <w:rFonts w:cs="Times New Roman"/>
      </w:rPr>
    </w:lvl>
    <w:lvl w:ilvl="8" w:tplc="3822CA0E">
      <w:start w:val="1"/>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0D3"/>
    <w:rsid w:val="000C7C64"/>
    <w:rsid w:val="003E5957"/>
    <w:rsid w:val="004A23B3"/>
    <w:rsid w:val="00577C01"/>
    <w:rsid w:val="006770D3"/>
    <w:rsid w:val="006E7F45"/>
    <w:rsid w:val="00AF1DF0"/>
    <w:rsid w:val="00EE6ADA"/>
    <w:rsid w:val="00FC5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pPr>
    <w:rPr>
      <w:rFonts w:ascii="Times New Roman" w:eastAsia="Times New Roman" w:hAnsi="Times New Roman"/>
      <w:sz w:val="24"/>
      <w:szCs w:val="24"/>
      <w:lang w:eastAsia="zh-CN"/>
    </w:rPr>
  </w:style>
  <w:style w:type="paragraph" w:styleId="1">
    <w:name w:val="heading 1"/>
    <w:basedOn w:val="a"/>
    <w:next w:val="a"/>
    <w:link w:val="10"/>
    <w:uiPriority w:val="99"/>
    <w:qFormat/>
    <w:pPr>
      <w:spacing w:before="108" w:after="108"/>
      <w:jc w:val="center"/>
      <w:outlineLvl w:val="0"/>
    </w:pPr>
    <w:rPr>
      <w:b/>
      <w:bCs/>
      <w:color w:val="26282F"/>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character" w:customStyle="1" w:styleId="10">
    <w:name w:val="Заголовок 1 Знак"/>
    <w:basedOn w:val="a0"/>
    <w:link w:val="1"/>
    <w:uiPriority w:val="9"/>
    <w:rPr>
      <w:rFonts w:ascii="Cambria" w:eastAsia="Cambria" w:hAnsi="Cambria" w:cs="Times New Roman"/>
      <w:b/>
      <w:bCs/>
      <w:sz w:val="32"/>
      <w:szCs w:val="32"/>
    </w:rPr>
  </w:style>
  <w:style w:type="character" w:customStyle="1" w:styleId="af1">
    <w:name w:val="Цветовое выделение"/>
    <w:uiPriority w:val="99"/>
    <w:rPr>
      <w:b/>
      <w:color w:val="26282F"/>
    </w:rPr>
  </w:style>
  <w:style w:type="character" w:customStyle="1" w:styleId="af2">
    <w:name w:val="Гипертекстовая ссылка"/>
    <w:basedOn w:val="af1"/>
    <w:uiPriority w:val="99"/>
    <w:rPr>
      <w:rFonts w:cs="Times New Roman"/>
      <w:b w:val="0"/>
      <w:color w:val="106BBE"/>
    </w:rPr>
  </w:style>
  <w:style w:type="paragraph" w:customStyle="1" w:styleId="af3">
    <w:name w:val="Нормальный (таблица)"/>
    <w:basedOn w:val="a"/>
    <w:next w:val="a"/>
    <w:uiPriority w:val="99"/>
  </w:style>
  <w:style w:type="paragraph" w:customStyle="1" w:styleId="af4">
    <w:name w:val="Прижатый влево"/>
    <w:basedOn w:val="a"/>
    <w:next w:val="a"/>
    <w:uiPriority w:val="99"/>
  </w:style>
  <w:style w:type="character" w:customStyle="1" w:styleId="af5">
    <w:name w:val="Цветовое выделение для Текст"/>
    <w:uiPriority w:val="99"/>
    <w:rPr>
      <w:rFonts w:ascii="Times New Roman CYR" w:hAnsi="Times New Roman CYR"/>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CYR" w:hAnsi="Times New Roman CYR" w:cs="Times New Roman CYR"/>
      <w:sz w:val="24"/>
      <w:szCs w:val="24"/>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CYR" w:hAnsi="Times New Roman CYR" w:cs="Times New Roman CYR"/>
      <w:sz w:val="24"/>
      <w:szCs w:val="24"/>
    </w:rPr>
  </w:style>
  <w:style w:type="paragraph" w:styleId="afa">
    <w:name w:val="Balloon Text"/>
    <w:basedOn w:val="a"/>
    <w:link w:val="afb"/>
    <w:uiPriority w:val="99"/>
    <w:semiHidden/>
    <w:unhideWhenUsed/>
    <w:rPr>
      <w:rFonts w:ascii="Tahoma" w:hAnsi="Tahoma" w:cs="Tahoma"/>
      <w:sz w:val="16"/>
      <w:szCs w:val="16"/>
    </w:rPr>
  </w:style>
  <w:style w:type="character" w:customStyle="1" w:styleId="afb">
    <w:name w:val="Текст выноски Знак"/>
    <w:basedOn w:val="a0"/>
    <w:link w:val="afa"/>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pPr>
    <w:rPr>
      <w:rFonts w:ascii="Times New Roman" w:eastAsia="Times New Roman" w:hAnsi="Times New Roman"/>
      <w:sz w:val="24"/>
      <w:szCs w:val="24"/>
      <w:lang w:eastAsia="zh-CN"/>
    </w:rPr>
  </w:style>
  <w:style w:type="paragraph" w:styleId="1">
    <w:name w:val="heading 1"/>
    <w:basedOn w:val="a"/>
    <w:next w:val="a"/>
    <w:link w:val="10"/>
    <w:uiPriority w:val="99"/>
    <w:qFormat/>
    <w:pPr>
      <w:spacing w:before="108" w:after="108"/>
      <w:jc w:val="center"/>
      <w:outlineLvl w:val="0"/>
    </w:pPr>
    <w:rPr>
      <w:b/>
      <w:bCs/>
      <w:color w:val="26282F"/>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character" w:customStyle="1" w:styleId="10">
    <w:name w:val="Заголовок 1 Знак"/>
    <w:basedOn w:val="a0"/>
    <w:link w:val="1"/>
    <w:uiPriority w:val="9"/>
    <w:rPr>
      <w:rFonts w:ascii="Cambria" w:eastAsia="Cambria" w:hAnsi="Cambria" w:cs="Times New Roman"/>
      <w:b/>
      <w:bCs/>
      <w:sz w:val="32"/>
      <w:szCs w:val="32"/>
    </w:rPr>
  </w:style>
  <w:style w:type="character" w:customStyle="1" w:styleId="af1">
    <w:name w:val="Цветовое выделение"/>
    <w:uiPriority w:val="99"/>
    <w:rPr>
      <w:b/>
      <w:color w:val="26282F"/>
    </w:rPr>
  </w:style>
  <w:style w:type="character" w:customStyle="1" w:styleId="af2">
    <w:name w:val="Гипертекстовая ссылка"/>
    <w:basedOn w:val="af1"/>
    <w:uiPriority w:val="99"/>
    <w:rPr>
      <w:rFonts w:cs="Times New Roman"/>
      <w:b w:val="0"/>
      <w:color w:val="106BBE"/>
    </w:rPr>
  </w:style>
  <w:style w:type="paragraph" w:customStyle="1" w:styleId="af3">
    <w:name w:val="Нормальный (таблица)"/>
    <w:basedOn w:val="a"/>
    <w:next w:val="a"/>
    <w:uiPriority w:val="99"/>
  </w:style>
  <w:style w:type="paragraph" w:customStyle="1" w:styleId="af4">
    <w:name w:val="Прижатый влево"/>
    <w:basedOn w:val="a"/>
    <w:next w:val="a"/>
    <w:uiPriority w:val="99"/>
  </w:style>
  <w:style w:type="character" w:customStyle="1" w:styleId="af5">
    <w:name w:val="Цветовое выделение для Текст"/>
    <w:uiPriority w:val="99"/>
    <w:rPr>
      <w:rFonts w:ascii="Times New Roman CYR" w:hAnsi="Times New Roman CYR"/>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CYR" w:hAnsi="Times New Roman CYR" w:cs="Times New Roman CYR"/>
      <w:sz w:val="24"/>
      <w:szCs w:val="24"/>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CYR" w:hAnsi="Times New Roman CYR" w:cs="Times New Roman CYR"/>
      <w:sz w:val="24"/>
      <w:szCs w:val="24"/>
    </w:rPr>
  </w:style>
  <w:style w:type="paragraph" w:styleId="afa">
    <w:name w:val="Balloon Text"/>
    <w:basedOn w:val="a"/>
    <w:link w:val="afb"/>
    <w:uiPriority w:val="99"/>
    <w:semiHidden/>
    <w:unhideWhenUsed/>
    <w:rPr>
      <w:rFonts w:ascii="Tahoma" w:hAnsi="Tahoma" w:cs="Tahoma"/>
      <w:sz w:val="16"/>
      <w:szCs w:val="16"/>
    </w:rPr>
  </w:style>
  <w:style w:type="character" w:customStyle="1" w:styleId="afb">
    <w:name w:val="Текст выноски Знак"/>
    <w:basedOn w:val="a0"/>
    <w:link w:val="afa"/>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redirect/12112604/264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unicipal.garant.ru/document/redirect/12112604/2644" TargetMode="External"/><Relationship Id="rId4" Type="http://schemas.openxmlformats.org/officeDocument/2006/relationships/settings" Target="settings.xml"/><Relationship Id="rId9" Type="http://schemas.openxmlformats.org/officeDocument/2006/relationships/hyperlink" Target="http://municipal.garant.ru/document/redirect/1218269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1253</Words>
  <Characters>7145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Admin</cp:lastModifiedBy>
  <cp:revision>7</cp:revision>
  <cp:lastPrinted>2023-10-06T13:41:00Z</cp:lastPrinted>
  <dcterms:created xsi:type="dcterms:W3CDTF">2023-10-02T09:03:00Z</dcterms:created>
  <dcterms:modified xsi:type="dcterms:W3CDTF">2023-10-06T13:41:00Z</dcterms:modified>
</cp:coreProperties>
</file>