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5D" w:rsidRDefault="00D852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EB3E5D" w:rsidRDefault="00D852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ЭЛИСЕНВААРСКОГО  СЕЛЬСКОГО ПОСЕЛЕНИЯ</w:t>
      </w:r>
    </w:p>
    <w:p w:rsidR="00EB3E5D" w:rsidRDefault="00D852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EB3E5D" w:rsidRDefault="00D852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3E5D" w:rsidRDefault="00D852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августа 2022 года                                                                                             № </w:t>
      </w:r>
      <w:r w:rsidR="002F2EEC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</w:p>
    <w:p w:rsidR="00EB3E5D" w:rsidRDefault="00D852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лисенваара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EB3E5D">
        <w:trPr>
          <w:trHeight w:val="1431"/>
        </w:trPr>
        <w:tc>
          <w:tcPr>
            <w:tcW w:w="4928" w:type="dxa"/>
            <w:shd w:val="clear" w:color="auto" w:fill="auto"/>
          </w:tcPr>
          <w:p w:rsidR="00EB3E5D" w:rsidRDefault="00D85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 утверждении Порядка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поощрения муниципальной управленческой команды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Элисенваарского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сельского поселения, деятельность которой способствовала достижению показателей деятельности исполнительными органами Республики Карелия </w:t>
            </w:r>
          </w:p>
          <w:p w:rsidR="00EB3E5D" w:rsidRDefault="00EB3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B3E5D" w:rsidRDefault="00EB3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B3E5D" w:rsidRDefault="00EB3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B3E5D" w:rsidRDefault="00D85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В соответствии с Постановлением Правительства Рес</w:t>
      </w:r>
      <w:r>
        <w:rPr>
          <w:rFonts w:ascii="Times New Roman" w:hAnsi="Times New Roman"/>
          <w:sz w:val="24"/>
          <w:szCs w:val="24"/>
          <w:lang w:eastAsia="zh-CN"/>
        </w:rPr>
        <w:t>публики Карелия от 19.12.2019г. №490-П «Об утверждении Методики распределения иных межбюджетных трансфертов из бюджета Республики Карелия бюджетам муниципальных образований на поощрение региональных и муниципальных управленческих команд за достижение показ</w:t>
      </w:r>
      <w:r>
        <w:rPr>
          <w:rFonts w:ascii="Times New Roman" w:hAnsi="Times New Roman"/>
          <w:sz w:val="24"/>
          <w:szCs w:val="24"/>
          <w:lang w:eastAsia="zh-CN"/>
        </w:rPr>
        <w:t xml:space="preserve">ателей деятельности органов исполнительной власти субъектов Российской Федерации и правил их предоставления», </w:t>
      </w:r>
      <w:r>
        <w:rPr>
          <w:rFonts w:ascii="Times New Roman" w:hAnsi="Times New Roman"/>
          <w:sz w:val="26"/>
          <w:szCs w:val="26"/>
        </w:rPr>
        <w:t xml:space="preserve">распоряжением Главы Республики Карелия от 13 июля 2022 года № 327-р, 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Лахденпохского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района от 24.08.20</w:t>
      </w:r>
      <w:r>
        <w:rPr>
          <w:rFonts w:ascii="Times New Roman" w:hAnsi="Times New Roman"/>
          <w:sz w:val="26"/>
          <w:szCs w:val="26"/>
        </w:rPr>
        <w:t>22 года № 729 «</w:t>
      </w:r>
      <w:r>
        <w:rPr>
          <w:rFonts w:ascii="Times New Roman" w:hAnsi="Times New Roman"/>
          <w:sz w:val="26"/>
          <w:szCs w:val="26"/>
          <w:lang w:eastAsia="zh-CN"/>
        </w:rPr>
        <w:t xml:space="preserve">Об утверждении Порядка поощрения муниципальных управленческих команд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Лахденпохского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муниципального района, деятельность которых способствовала достижению показателей деятельности органами исполнительной власти субъектов Российской Федерации»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6"/>
          <w:szCs w:val="26"/>
          <w:lang w:eastAsia="zh-CN"/>
        </w:rPr>
        <w:t xml:space="preserve"> 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Лахденпохского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муниципального района от 24.08.2022 № 732</w:t>
      </w:r>
      <w:r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  <w:lang w:eastAsia="zh-CN"/>
        </w:rPr>
        <w:t xml:space="preserve">О распределении на 2022 год иных межбюджетных трансфертов из бюджета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Лахденпохского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муниципального района бюджетам поселений </w:t>
      </w:r>
      <w:proofErr w:type="spellStart"/>
      <w:r>
        <w:rPr>
          <w:rFonts w:ascii="Times New Roman" w:hAnsi="Times New Roman"/>
          <w:sz w:val="26"/>
          <w:szCs w:val="26"/>
          <w:lang w:eastAsia="zh-CN"/>
        </w:rPr>
        <w:t>Лахденпохского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 xml:space="preserve"> муниципального района на </w:t>
      </w:r>
      <w:r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оощрение муниципальных управленческих команд за достижение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показателей деятельности органами исполнительной власти субъектов Российской Федерации»</w:t>
      </w:r>
      <w:r>
        <w:rPr>
          <w:rFonts w:ascii="Times New Roman" w:hAnsi="Times New Roman"/>
          <w:sz w:val="24"/>
          <w:szCs w:val="24"/>
          <w:lang w:eastAsia="zh-CN"/>
        </w:rPr>
        <w:t xml:space="preserve"> Администрация 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 сельского поселения</w:t>
      </w:r>
    </w:p>
    <w:p w:rsidR="00EB3E5D" w:rsidRDefault="00D85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</w:t>
      </w:r>
    </w:p>
    <w:p w:rsidR="00EB3E5D" w:rsidRDefault="00D85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ПОСТАНОВЛЯЕТ:</w:t>
      </w:r>
    </w:p>
    <w:p w:rsidR="00EB3E5D" w:rsidRDefault="00EB3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B3E5D" w:rsidRDefault="00D85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ab/>
        <w:t>1. Утвердить Поря</w:t>
      </w:r>
      <w:r>
        <w:rPr>
          <w:rFonts w:ascii="Times New Roman" w:hAnsi="Times New Roman"/>
          <w:sz w:val="24"/>
          <w:szCs w:val="24"/>
          <w:lang w:eastAsia="zh-CN"/>
        </w:rPr>
        <w:t xml:space="preserve">док поощрения муниципальной управленческой команды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поселения, деятельность которой способствовала достижению показателей деятельности исполнительными органами Республики Карелия (прилагается).</w:t>
      </w:r>
    </w:p>
    <w:p w:rsidR="00EB3E5D" w:rsidRDefault="00D852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2. 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исполнением настояще</w:t>
      </w:r>
      <w:r>
        <w:rPr>
          <w:rFonts w:ascii="Times New Roman" w:hAnsi="Times New Roman"/>
          <w:sz w:val="24"/>
          <w:szCs w:val="24"/>
          <w:lang w:eastAsia="zh-CN"/>
        </w:rPr>
        <w:t>го постановления оставляю за собой.</w:t>
      </w:r>
    </w:p>
    <w:p w:rsidR="00EB3E5D" w:rsidRDefault="00EB3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B3E5D" w:rsidRDefault="00D852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Л. М. </w:t>
      </w:r>
      <w:proofErr w:type="spellStart"/>
      <w:r>
        <w:rPr>
          <w:rFonts w:ascii="Times New Roman" w:hAnsi="Times New Roman"/>
          <w:sz w:val="24"/>
          <w:szCs w:val="24"/>
        </w:rPr>
        <w:t>Трудова</w:t>
      </w:r>
      <w:proofErr w:type="spellEnd"/>
    </w:p>
    <w:p w:rsidR="00EB3E5D" w:rsidRDefault="00EB3E5D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tabs>
          <w:tab w:val="left" w:pos="7230"/>
        </w:tabs>
        <w:spacing w:after="0" w:line="240" w:lineRule="auto"/>
        <w:ind w:left="6804"/>
        <w:jc w:val="center"/>
        <w:rPr>
          <w:rFonts w:ascii="Times New Roman" w:hAnsi="Times New Roman"/>
          <w:color w:val="00000A"/>
          <w:lang w:eastAsia="zh-CN"/>
        </w:rPr>
      </w:pPr>
    </w:p>
    <w:p w:rsidR="00EB3E5D" w:rsidRDefault="00D85234">
      <w:pPr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zh-CN"/>
        </w:rPr>
      </w:pPr>
      <w:r>
        <w:rPr>
          <w:rFonts w:ascii="Times New Roman" w:hAnsi="Times New Roman"/>
          <w:color w:val="00000A"/>
          <w:lang w:eastAsia="zh-CN"/>
        </w:rPr>
        <w:lastRenderedPageBreak/>
        <w:t xml:space="preserve">                                </w:t>
      </w:r>
      <w:r>
        <w:rPr>
          <w:rFonts w:ascii="Times New Roman" w:hAnsi="Times New Roman"/>
          <w:color w:val="00000A"/>
          <w:sz w:val="20"/>
          <w:szCs w:val="20"/>
          <w:lang w:eastAsia="zh-CN"/>
        </w:rPr>
        <w:t>Приложение</w:t>
      </w:r>
    </w:p>
    <w:p w:rsidR="00EB3E5D" w:rsidRDefault="00D85234">
      <w:pPr>
        <w:spacing w:after="0" w:line="240" w:lineRule="auto"/>
        <w:jc w:val="right"/>
        <w:rPr>
          <w:rFonts w:ascii="Times New Roman" w:hAnsi="Times New Roman"/>
          <w:color w:val="00000A"/>
          <w:lang w:eastAsia="zh-CN"/>
        </w:rPr>
      </w:pPr>
      <w:r>
        <w:rPr>
          <w:rFonts w:ascii="Times New Roman" w:hAnsi="Times New Roman"/>
          <w:color w:val="00000A"/>
          <w:sz w:val="20"/>
          <w:szCs w:val="20"/>
          <w:lang w:eastAsia="zh-CN"/>
        </w:rPr>
        <w:t xml:space="preserve"> к постановлению Администрации</w:t>
      </w:r>
    </w:p>
    <w:p w:rsidR="00EB3E5D" w:rsidRDefault="00D85234">
      <w:pPr>
        <w:spacing w:after="0" w:line="240" w:lineRule="auto"/>
        <w:jc w:val="right"/>
        <w:rPr>
          <w:rFonts w:ascii="Times New Roman" w:hAnsi="Times New Roman"/>
          <w:color w:val="00000A"/>
          <w:lang w:eastAsia="zh-CN"/>
        </w:rPr>
      </w:pPr>
      <w:r>
        <w:rPr>
          <w:rFonts w:ascii="Times New Roman" w:hAnsi="Times New Roman"/>
          <w:color w:val="00000A"/>
          <w:sz w:val="20"/>
          <w:szCs w:val="20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A"/>
          <w:sz w:val="20"/>
          <w:szCs w:val="20"/>
          <w:lang w:eastAsia="zh-CN"/>
        </w:rPr>
        <w:t>Элисенваарского</w:t>
      </w:r>
      <w:proofErr w:type="spellEnd"/>
      <w:r>
        <w:rPr>
          <w:rFonts w:ascii="Times New Roman" w:hAnsi="Times New Roman"/>
          <w:color w:val="00000A"/>
          <w:sz w:val="20"/>
          <w:szCs w:val="20"/>
          <w:lang w:eastAsia="zh-CN"/>
        </w:rPr>
        <w:t xml:space="preserve"> сельского</w:t>
      </w:r>
    </w:p>
    <w:p w:rsidR="00EB3E5D" w:rsidRDefault="00D85234">
      <w:pPr>
        <w:spacing w:after="0" w:line="240" w:lineRule="auto"/>
        <w:jc w:val="right"/>
        <w:rPr>
          <w:rFonts w:ascii="Times New Roman" w:hAnsi="Times New Roman"/>
          <w:color w:val="00000A"/>
          <w:lang w:eastAsia="zh-CN"/>
        </w:rPr>
      </w:pPr>
      <w:r>
        <w:rPr>
          <w:rFonts w:ascii="Times New Roman" w:hAnsi="Times New Roman"/>
          <w:color w:val="00000A"/>
          <w:sz w:val="20"/>
          <w:szCs w:val="20"/>
          <w:lang w:eastAsia="zh-CN"/>
        </w:rPr>
        <w:t xml:space="preserve"> поселения от 25.08.2022 № </w:t>
      </w:r>
    </w:p>
    <w:p w:rsidR="00EB3E5D" w:rsidRDefault="00EB3E5D">
      <w:pPr>
        <w:tabs>
          <w:tab w:val="left" w:pos="7230"/>
        </w:tabs>
        <w:spacing w:after="0" w:line="240" w:lineRule="auto"/>
        <w:ind w:left="6804"/>
        <w:jc w:val="right"/>
        <w:rPr>
          <w:rFonts w:ascii="Times New Roman" w:hAnsi="Times New Roman"/>
          <w:color w:val="00000A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D85234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A"/>
          <w:sz w:val="24"/>
          <w:szCs w:val="24"/>
          <w:lang w:eastAsia="zh-CN"/>
        </w:rPr>
        <w:t>Порядок</w:t>
      </w:r>
    </w:p>
    <w:p w:rsidR="00EB3E5D" w:rsidRDefault="00D85234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A"/>
          <w:sz w:val="24"/>
          <w:szCs w:val="24"/>
          <w:lang w:eastAsia="zh-CN"/>
        </w:rPr>
        <w:t xml:space="preserve">поощрения муниципальной управленческой команды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hAnsi="Times New Roman"/>
          <w:b/>
          <w:color w:val="00000A"/>
          <w:sz w:val="24"/>
          <w:szCs w:val="24"/>
          <w:lang w:eastAsia="zh-CN"/>
        </w:rPr>
        <w:t xml:space="preserve">, деятельность которой способствовала достижению показателей деятельности исполнительными органами Республики Карелия </w:t>
      </w:r>
    </w:p>
    <w:p w:rsidR="00EB3E5D" w:rsidRDefault="00EB3E5D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eastAsia="zh-CN"/>
        </w:rPr>
      </w:pPr>
    </w:p>
    <w:p w:rsidR="00EB3E5D" w:rsidRDefault="00D85234">
      <w:pPr>
        <w:pStyle w:val="af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Бюджету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из бюджета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муниципального района Республики Карелия в 2022 году предоставляется иной межбюджетный трансферт на поощрение региональных и муниципальных управленческих команд за достижение показателей деятел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ьности органов исполнительной власти субъектов Российской Федерации, являющийся источником финансового обеспечения поощрения муниципальных управленческих команд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муниципального района, деятельность которых способствовала достижению показателе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й деятельности исполнительными органами Республики Карелия (далее-Показатели).</w:t>
      </w:r>
      <w:proofErr w:type="gramEnd"/>
    </w:p>
    <w:p w:rsidR="00EB3E5D" w:rsidRDefault="00D85234">
      <w:pPr>
        <w:pStyle w:val="af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Муниципальной управленческой команде, под которой понимаются должностные лица, замещающие в 2021 году в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муниципальные должност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и или должности муниципальной службы, </w:t>
      </w:r>
      <w:r>
        <w:rPr>
          <w:rFonts w:ascii="Times New Roman" w:hAnsi="Times New Roman"/>
          <w:color w:val="00000A"/>
          <w:sz w:val="24"/>
          <w:szCs w:val="28"/>
          <w:lang w:eastAsia="zh-CN"/>
        </w:rPr>
        <w:t>а также работники указанных органов местного самоуправления, не являющиеся муниципальными служащими</w:t>
      </w:r>
      <w:r>
        <w:rPr>
          <w:rFonts w:ascii="Times New Roman" w:hAnsi="Times New Roman"/>
          <w:color w:val="00000A"/>
          <w:sz w:val="28"/>
          <w:szCs w:val="28"/>
          <w:lang w:eastAsia="zh-CN"/>
        </w:rPr>
        <w:t>,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деятельность которых способствовала достижению Республикой Карелия за отчетный период (2021 год) значений (уровней) П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оказателей осуществить выплату денежного поощрения не позднее срока выплаты заработной платы за август</w:t>
      </w:r>
      <w:proofErr w:type="gramEnd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2022 года.</w:t>
      </w:r>
    </w:p>
    <w:p w:rsidR="00EB3E5D" w:rsidRDefault="00D85234">
      <w:pPr>
        <w:pStyle w:val="af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Размер денежного поощрения конкретного должностного лица, определяется работодателем (представителем нанимателя) исходя из вклада должностного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лица в достижение значений (уровней) Показателей за отчетный период (2021 год).</w:t>
      </w:r>
    </w:p>
    <w:p w:rsidR="00EB3E5D" w:rsidRDefault="00D85234">
      <w:pPr>
        <w:pStyle w:val="af5"/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Размер денежного поощрения конкретному должностному лицу определяется в твердой сумме. Размер денежного поощрения включает в себя районный коэффициент и процентную надбавку за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работу в районах Крайнего Севера и приравненных к ним местностях.</w:t>
      </w:r>
    </w:p>
    <w:p w:rsidR="00EB3E5D" w:rsidRDefault="00D85234">
      <w:pPr>
        <w:pStyle w:val="af5"/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При определении конкретного размера денежного поощрения не учитываются периоды временной нетрудоспособности поощряемых должностных лиц, периоды их нахождения в отпусках по уходу за ребенком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до достижения им возраста трех лет, а также периоды нахождения в отпусках за свой счет.</w:t>
      </w:r>
    </w:p>
    <w:p w:rsidR="00EB3E5D" w:rsidRDefault="00D85234">
      <w:pPr>
        <w:pStyle w:val="af5"/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>Выплаченное денежное поощрение  не учитывается при расчете среднего денежного содержания, в том числе используемого для оплаты отпусков.</w:t>
      </w:r>
    </w:p>
    <w:p w:rsidR="00EB3E5D" w:rsidRDefault="00D85234">
      <w:pPr>
        <w:pStyle w:val="af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>Выплату денежного содержания п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роизвести с учетом взносов по обязательному социальному страхованию во внебюджетные фонды за счет и в пределах бюджетных ассигнований бюджета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, доведенных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на указанные це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ли, источником финансового обеспечения которых является иной межбюджетных трансферт из бюджета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муниципального района на поощрение региональных и муниципальных управленческих команд за достижение показателей деятельности органов исполнительно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й власти</w:t>
      </w:r>
      <w:proofErr w:type="gramEnd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субъектов Российской Федерации.</w:t>
      </w:r>
    </w:p>
    <w:p w:rsidR="00EB3E5D" w:rsidRDefault="00D85234">
      <w:pPr>
        <w:pStyle w:val="af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Подписать с Администрацией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муниципального района соглашения о предоставлении в 2022 году из бюджета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zh-CN"/>
        </w:rPr>
        <w:t>Лахденпохского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муниципального района бюджетам поселений иного межбюджетного трансферта </w:t>
      </w:r>
      <w:r>
        <w:rPr>
          <w:rFonts w:ascii="Times New Roman" w:hAnsi="Times New Roman"/>
          <w:sz w:val="24"/>
          <w:szCs w:val="24"/>
        </w:rPr>
        <w:t xml:space="preserve">на поощрение </w:t>
      </w:r>
      <w:r>
        <w:rPr>
          <w:rFonts w:ascii="Times New Roman" w:hAnsi="Times New Roman"/>
          <w:sz w:val="24"/>
          <w:szCs w:val="24"/>
        </w:rPr>
        <w:t xml:space="preserve">муниципальных управленческих команд за достижение </w:t>
      </w:r>
      <w:proofErr w:type="gramStart"/>
      <w:r>
        <w:rPr>
          <w:rFonts w:ascii="Times New Roman" w:hAnsi="Times New Roman"/>
          <w:sz w:val="24"/>
          <w:szCs w:val="24"/>
        </w:rPr>
        <w:t>показателей деятельности органов исполнительной власти субъектов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B3E5D" w:rsidRDefault="00D85234">
      <w:pPr>
        <w:pStyle w:val="af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Главному специалисту 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 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обеспечить в кратчайший срок подготовку проект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а муниципального правового акта об установлении конкретных размеров денежного поощрения должностным лицам 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lastRenderedPageBreak/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, деятельность которых способствовала достижению Республикой Карелия за отчетный период (2021 год) зн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>ачений (уровней) Показателей.</w:t>
      </w:r>
    </w:p>
    <w:p w:rsidR="00EB3E5D" w:rsidRDefault="00EB3E5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EB3E5D" w:rsidRDefault="00EB3E5D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</w:p>
    <w:sectPr w:rsidR="00EB3E5D">
      <w:pgSz w:w="11906" w:h="16838"/>
      <w:pgMar w:top="851" w:right="991" w:bottom="62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34" w:rsidRDefault="00D85234">
      <w:pPr>
        <w:spacing w:after="0" w:line="240" w:lineRule="auto"/>
      </w:pPr>
      <w:r>
        <w:separator/>
      </w:r>
    </w:p>
  </w:endnote>
  <w:endnote w:type="continuationSeparator" w:id="0">
    <w:p w:rsidR="00D85234" w:rsidRDefault="00D8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34" w:rsidRDefault="00D85234">
      <w:pPr>
        <w:spacing w:after="0" w:line="240" w:lineRule="auto"/>
      </w:pPr>
      <w:r>
        <w:separator/>
      </w:r>
    </w:p>
  </w:footnote>
  <w:footnote w:type="continuationSeparator" w:id="0">
    <w:p w:rsidR="00D85234" w:rsidRDefault="00D8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95F"/>
    <w:multiLevelType w:val="multilevel"/>
    <w:tmpl w:val="AEBAA3C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0674868"/>
    <w:multiLevelType w:val="hybridMultilevel"/>
    <w:tmpl w:val="F5B6EAD6"/>
    <w:lvl w:ilvl="0" w:tplc="A8067EC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91504D1C">
      <w:start w:val="1"/>
      <w:numFmt w:val="lowerLetter"/>
      <w:lvlText w:val="%2."/>
      <w:lvlJc w:val="left"/>
      <w:pPr>
        <w:ind w:left="1620" w:hanging="360"/>
      </w:pPr>
    </w:lvl>
    <w:lvl w:ilvl="2" w:tplc="8634FDCC">
      <w:start w:val="1"/>
      <w:numFmt w:val="lowerRoman"/>
      <w:lvlText w:val="%3."/>
      <w:lvlJc w:val="right"/>
      <w:pPr>
        <w:ind w:left="2340" w:hanging="180"/>
      </w:pPr>
    </w:lvl>
    <w:lvl w:ilvl="3" w:tplc="45AA19BC">
      <w:start w:val="1"/>
      <w:numFmt w:val="decimal"/>
      <w:lvlText w:val="%4."/>
      <w:lvlJc w:val="left"/>
      <w:pPr>
        <w:ind w:left="3060" w:hanging="360"/>
      </w:pPr>
    </w:lvl>
    <w:lvl w:ilvl="4" w:tplc="BA9A5CCC">
      <w:start w:val="1"/>
      <w:numFmt w:val="lowerLetter"/>
      <w:lvlText w:val="%5."/>
      <w:lvlJc w:val="left"/>
      <w:pPr>
        <w:ind w:left="3780" w:hanging="360"/>
      </w:pPr>
    </w:lvl>
    <w:lvl w:ilvl="5" w:tplc="73DE909C">
      <w:start w:val="1"/>
      <w:numFmt w:val="lowerRoman"/>
      <w:lvlText w:val="%6."/>
      <w:lvlJc w:val="right"/>
      <w:pPr>
        <w:ind w:left="4500" w:hanging="180"/>
      </w:pPr>
    </w:lvl>
    <w:lvl w:ilvl="6" w:tplc="4ACE5060">
      <w:start w:val="1"/>
      <w:numFmt w:val="decimal"/>
      <w:lvlText w:val="%7."/>
      <w:lvlJc w:val="left"/>
      <w:pPr>
        <w:ind w:left="5220" w:hanging="360"/>
      </w:pPr>
    </w:lvl>
    <w:lvl w:ilvl="7" w:tplc="D59C511A">
      <w:start w:val="1"/>
      <w:numFmt w:val="lowerLetter"/>
      <w:lvlText w:val="%8."/>
      <w:lvlJc w:val="left"/>
      <w:pPr>
        <w:ind w:left="5940" w:hanging="360"/>
      </w:pPr>
    </w:lvl>
    <w:lvl w:ilvl="8" w:tplc="A4B432AC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167698"/>
    <w:multiLevelType w:val="multilevel"/>
    <w:tmpl w:val="2C32D732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B410BA1"/>
    <w:multiLevelType w:val="multilevel"/>
    <w:tmpl w:val="38685C7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4">
    <w:nsid w:val="3016718F"/>
    <w:multiLevelType w:val="multilevel"/>
    <w:tmpl w:val="DBAE64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34753470"/>
    <w:multiLevelType w:val="hybridMultilevel"/>
    <w:tmpl w:val="EE74679E"/>
    <w:lvl w:ilvl="0" w:tplc="A8CE8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520967E">
      <w:start w:val="1"/>
      <w:numFmt w:val="lowerLetter"/>
      <w:lvlText w:val="%2."/>
      <w:lvlJc w:val="left"/>
      <w:pPr>
        <w:ind w:left="1788" w:hanging="360"/>
      </w:pPr>
    </w:lvl>
    <w:lvl w:ilvl="2" w:tplc="CBE2118C">
      <w:start w:val="1"/>
      <w:numFmt w:val="lowerRoman"/>
      <w:lvlText w:val="%3."/>
      <w:lvlJc w:val="right"/>
      <w:pPr>
        <w:ind w:left="2508" w:hanging="180"/>
      </w:pPr>
    </w:lvl>
    <w:lvl w:ilvl="3" w:tplc="A35EBB8C">
      <w:start w:val="1"/>
      <w:numFmt w:val="decimal"/>
      <w:lvlText w:val="%4."/>
      <w:lvlJc w:val="left"/>
      <w:pPr>
        <w:ind w:left="3228" w:hanging="360"/>
      </w:pPr>
    </w:lvl>
    <w:lvl w:ilvl="4" w:tplc="617AE124">
      <w:start w:val="1"/>
      <w:numFmt w:val="lowerLetter"/>
      <w:lvlText w:val="%5."/>
      <w:lvlJc w:val="left"/>
      <w:pPr>
        <w:ind w:left="3948" w:hanging="360"/>
      </w:pPr>
    </w:lvl>
    <w:lvl w:ilvl="5" w:tplc="D06EAF8E">
      <w:start w:val="1"/>
      <w:numFmt w:val="lowerRoman"/>
      <w:lvlText w:val="%6."/>
      <w:lvlJc w:val="right"/>
      <w:pPr>
        <w:ind w:left="4668" w:hanging="180"/>
      </w:pPr>
    </w:lvl>
    <w:lvl w:ilvl="6" w:tplc="7A904ECC">
      <w:start w:val="1"/>
      <w:numFmt w:val="decimal"/>
      <w:lvlText w:val="%7."/>
      <w:lvlJc w:val="left"/>
      <w:pPr>
        <w:ind w:left="5388" w:hanging="360"/>
      </w:pPr>
    </w:lvl>
    <w:lvl w:ilvl="7" w:tplc="514C2E96">
      <w:start w:val="1"/>
      <w:numFmt w:val="lowerLetter"/>
      <w:lvlText w:val="%8."/>
      <w:lvlJc w:val="left"/>
      <w:pPr>
        <w:ind w:left="6108" w:hanging="360"/>
      </w:pPr>
    </w:lvl>
    <w:lvl w:ilvl="8" w:tplc="B7B64860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E259F5"/>
    <w:multiLevelType w:val="hybridMultilevel"/>
    <w:tmpl w:val="8E329ECE"/>
    <w:lvl w:ilvl="0" w:tplc="EDBCD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9ECC08">
      <w:start w:val="1"/>
      <w:numFmt w:val="lowerLetter"/>
      <w:lvlText w:val="%2."/>
      <w:lvlJc w:val="left"/>
      <w:pPr>
        <w:ind w:left="1440" w:hanging="360"/>
      </w:pPr>
    </w:lvl>
    <w:lvl w:ilvl="2" w:tplc="D518B75A">
      <w:start w:val="1"/>
      <w:numFmt w:val="lowerRoman"/>
      <w:lvlText w:val="%3."/>
      <w:lvlJc w:val="right"/>
      <w:pPr>
        <w:ind w:left="2160" w:hanging="180"/>
      </w:pPr>
    </w:lvl>
    <w:lvl w:ilvl="3" w:tplc="7B5AB274">
      <w:start w:val="1"/>
      <w:numFmt w:val="decimal"/>
      <w:lvlText w:val="%4."/>
      <w:lvlJc w:val="left"/>
      <w:pPr>
        <w:ind w:left="2880" w:hanging="360"/>
      </w:pPr>
    </w:lvl>
    <w:lvl w:ilvl="4" w:tplc="9FACFFAC">
      <w:start w:val="1"/>
      <w:numFmt w:val="lowerLetter"/>
      <w:lvlText w:val="%5."/>
      <w:lvlJc w:val="left"/>
      <w:pPr>
        <w:ind w:left="3600" w:hanging="360"/>
      </w:pPr>
    </w:lvl>
    <w:lvl w:ilvl="5" w:tplc="F55C7AC8">
      <w:start w:val="1"/>
      <w:numFmt w:val="lowerRoman"/>
      <w:lvlText w:val="%6."/>
      <w:lvlJc w:val="right"/>
      <w:pPr>
        <w:ind w:left="4320" w:hanging="180"/>
      </w:pPr>
    </w:lvl>
    <w:lvl w:ilvl="6" w:tplc="D026FC58">
      <w:start w:val="1"/>
      <w:numFmt w:val="decimal"/>
      <w:lvlText w:val="%7."/>
      <w:lvlJc w:val="left"/>
      <w:pPr>
        <w:ind w:left="5040" w:hanging="360"/>
      </w:pPr>
    </w:lvl>
    <w:lvl w:ilvl="7" w:tplc="6A7216F4">
      <w:start w:val="1"/>
      <w:numFmt w:val="lowerLetter"/>
      <w:lvlText w:val="%8."/>
      <w:lvlJc w:val="left"/>
      <w:pPr>
        <w:ind w:left="5760" w:hanging="360"/>
      </w:pPr>
    </w:lvl>
    <w:lvl w:ilvl="8" w:tplc="173C9A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50630"/>
    <w:multiLevelType w:val="hybridMultilevel"/>
    <w:tmpl w:val="11821B2A"/>
    <w:lvl w:ilvl="0" w:tplc="795AF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D417C0">
      <w:start w:val="1"/>
      <w:numFmt w:val="lowerLetter"/>
      <w:lvlText w:val="%2."/>
      <w:lvlJc w:val="left"/>
      <w:pPr>
        <w:ind w:left="1785" w:hanging="360"/>
      </w:pPr>
    </w:lvl>
    <w:lvl w:ilvl="2" w:tplc="81868108">
      <w:start w:val="1"/>
      <w:numFmt w:val="lowerRoman"/>
      <w:lvlText w:val="%3."/>
      <w:lvlJc w:val="right"/>
      <w:pPr>
        <w:ind w:left="2505" w:hanging="180"/>
      </w:pPr>
    </w:lvl>
    <w:lvl w:ilvl="3" w:tplc="86BA1ADA">
      <w:start w:val="1"/>
      <w:numFmt w:val="decimal"/>
      <w:lvlText w:val="%4."/>
      <w:lvlJc w:val="left"/>
      <w:pPr>
        <w:ind w:left="3225" w:hanging="360"/>
      </w:pPr>
    </w:lvl>
    <w:lvl w:ilvl="4" w:tplc="96EA21F0">
      <w:start w:val="1"/>
      <w:numFmt w:val="lowerLetter"/>
      <w:lvlText w:val="%5."/>
      <w:lvlJc w:val="left"/>
      <w:pPr>
        <w:ind w:left="3945" w:hanging="360"/>
      </w:pPr>
    </w:lvl>
    <w:lvl w:ilvl="5" w:tplc="369419A6">
      <w:start w:val="1"/>
      <w:numFmt w:val="lowerRoman"/>
      <w:lvlText w:val="%6."/>
      <w:lvlJc w:val="right"/>
      <w:pPr>
        <w:ind w:left="4665" w:hanging="180"/>
      </w:pPr>
    </w:lvl>
    <w:lvl w:ilvl="6" w:tplc="753869E4">
      <w:start w:val="1"/>
      <w:numFmt w:val="decimal"/>
      <w:lvlText w:val="%7."/>
      <w:lvlJc w:val="left"/>
      <w:pPr>
        <w:ind w:left="5385" w:hanging="360"/>
      </w:pPr>
    </w:lvl>
    <w:lvl w:ilvl="7" w:tplc="E74E40EE">
      <w:start w:val="1"/>
      <w:numFmt w:val="lowerLetter"/>
      <w:lvlText w:val="%8."/>
      <w:lvlJc w:val="left"/>
      <w:pPr>
        <w:ind w:left="6105" w:hanging="360"/>
      </w:pPr>
    </w:lvl>
    <w:lvl w:ilvl="8" w:tplc="54469902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5D"/>
    <w:rsid w:val="002F2EEC"/>
    <w:rsid w:val="00D85234"/>
    <w:rsid w:val="00E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2022-08-25T11:10:00Z</dcterms:created>
  <dcterms:modified xsi:type="dcterms:W3CDTF">2022-08-25T11:10:00Z</dcterms:modified>
</cp:coreProperties>
</file>