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5"/>
        <w:jc w:val="center"/>
      </w:pPr>
      <w:r>
        <w:t xml:space="preserve">ПОЯСНИТЕЛЬНАЯ ЗАПИСКА</w:t>
      </w:r>
      <w:r/>
    </w:p>
    <w:p>
      <w:pPr>
        <w:pStyle w:val="605"/>
        <w:jc w:val="center"/>
      </w:pPr>
      <w:r/>
      <w:r/>
    </w:p>
    <w:p>
      <w:pPr>
        <w:pStyle w:val="605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lang w:eastAsia="zh-CN"/>
        </w:rPr>
        <w:t xml:space="preserve"> </w:t>
      </w:r>
      <w:r>
        <w:rPr>
          <w:lang w:eastAsia="zh-CN"/>
        </w:rPr>
      </w:r>
      <w:r>
        <w:t xml:space="preserve">ХХ</w:t>
      </w:r>
      <w:r>
        <w:rPr>
          <w:lang w:val="en-US" w:eastAsia="zh-CN"/>
        </w:rPr>
        <w:t xml:space="preserve">I</w:t>
      </w:r>
      <w:r/>
      <w:r>
        <w:rPr>
          <w:lang w:eastAsia="zh-CN"/>
        </w:rPr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lang w:val="en-US" w:eastAsia="zh-CN"/>
        </w:rPr>
        <w:t xml:space="preserve">X</w:t>
      </w:r>
      <w:r>
        <w:rPr>
          <w:lang w:val="en-US" w:eastAsia="zh-CN"/>
        </w:rPr>
        <w:t xml:space="preserve">VI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</w:t>
      </w:r>
      <w:r/>
    </w:p>
    <w:p>
      <w:pPr>
        <w:pStyle w:val="605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Элисенваарского  сельского поселения </w:t>
      </w:r>
      <w:r>
        <w:rPr>
          <w:lang w:eastAsia="zh-CN"/>
        </w:rPr>
        <w:t xml:space="preserve">   на  2020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24</w:t>
      </w:r>
      <w:r>
        <w:rPr>
          <w:lang w:eastAsia="zh-CN"/>
        </w:rPr>
        <w:t xml:space="preserve">.12.201</w:t>
      </w:r>
      <w:r>
        <w:rPr>
          <w:lang w:eastAsia="zh-CN"/>
        </w:rPr>
        <w:t xml:space="preserve">9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16</w:t>
      </w:r>
      <w:r>
        <w:rPr>
          <w:lang w:eastAsia="zh-CN"/>
        </w:rPr>
        <w:t xml:space="preserve">/</w:t>
      </w:r>
      <w:r>
        <w:rPr>
          <w:lang w:eastAsia="zh-CN"/>
        </w:rPr>
        <w:t xml:space="preserve">51</w:t>
      </w:r>
      <w:r>
        <w:rPr>
          <w:lang w:eastAsia="zh-CN"/>
        </w:rPr>
        <w:t xml:space="preserve">-4.</w:t>
      </w:r>
      <w:r/>
    </w:p>
    <w:p>
      <w:pPr>
        <w:pStyle w:val="605"/>
        <w:jc w:val="center"/>
      </w:pPr>
      <w:r/>
      <w:r/>
    </w:p>
    <w:p>
      <w:pPr>
        <w:pStyle w:val="605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 </w:t>
      </w:r>
      <w:r>
        <w:t xml:space="preserve">ХХ</w:t>
      </w:r>
      <w:r>
        <w:rPr>
          <w:lang w:val="en-US" w:eastAsia="zh-CN"/>
        </w:rPr>
        <w:t xml:space="preserve">I</w:t>
      </w:r>
      <w:r>
        <w:rPr>
          <w:lang w:eastAsia="zh-CN"/>
        </w:rPr>
        <w:t xml:space="preserve">    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lang w:val="en-US" w:eastAsia="zh-CN"/>
        </w:rPr>
        <w:t xml:space="preserve">X</w:t>
      </w:r>
      <w:r>
        <w:rPr>
          <w:lang w:val="en-US" w:eastAsia="zh-CN"/>
        </w:rPr>
        <w:t xml:space="preserve">VI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24</w:t>
      </w:r>
      <w:r>
        <w:rPr>
          <w:lang w:eastAsia="zh-CN"/>
        </w:rPr>
        <w:t xml:space="preserve">.12.201</w:t>
      </w:r>
      <w:r>
        <w:rPr>
          <w:lang w:eastAsia="zh-CN"/>
        </w:rPr>
        <w:t xml:space="preserve">9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16</w:t>
      </w:r>
      <w:r>
        <w:rPr>
          <w:lang w:eastAsia="zh-CN"/>
        </w:rPr>
        <w:t xml:space="preserve">/</w:t>
      </w:r>
      <w:r>
        <w:rPr>
          <w:lang w:eastAsia="zh-CN"/>
        </w:rPr>
        <w:t xml:space="preserve">51</w:t>
      </w:r>
      <w:r>
        <w:rPr>
          <w:lang w:eastAsia="zh-CN"/>
        </w:rPr>
        <w:t xml:space="preserve">-4 года «О  бюджете Элисенваарско</w:t>
      </w:r>
      <w:r>
        <w:rPr>
          <w:lang w:eastAsia="zh-CN"/>
        </w:rPr>
        <w:t xml:space="preserve">го  сельского поселения на  2020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605"/>
        <w:ind w:firstLine="426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5"/>
        <w:ind w:right="57"/>
        <w:jc w:val="both"/>
      </w:pPr>
      <w:r/>
      <w:r/>
    </w:p>
    <w:p>
      <w:pPr>
        <w:pStyle w:val="605"/>
        <w:ind w:left="113" w:right="57" w:hanging="113"/>
        <w:jc w:val="both"/>
      </w:pPr>
      <w:r>
        <w:t xml:space="preserve">1</w:t>
      </w:r>
      <w:r>
        <w:t xml:space="preserve">. Проектом предусмотрено </w:t>
      </w:r>
      <w:r>
        <w:t xml:space="preserve">увеличение</w:t>
      </w:r>
      <w:r>
        <w:t xml:space="preserve"> утвержденного плана по доходам на 402</w:t>
      </w:r>
      <w:r>
        <w:t xml:space="preserve">,57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605"/>
        <w:ind w:left="113" w:right="57" w:hanging="113"/>
        <w:jc w:val="both"/>
      </w:pPr>
      <w:r/>
      <w:r/>
    </w:p>
    <w:p>
      <w:pPr>
        <w:pStyle w:val="605"/>
        <w:ind w:left="113" w:right="57" w:hanging="113"/>
        <w:jc w:val="both"/>
      </w:pPr>
      <w:r>
        <w:t xml:space="preserve">1</w:t>
      </w:r>
      <w:r>
        <w:t xml:space="preserve">.1</w:t>
      </w:r>
      <w:r>
        <w:t xml:space="preserve"> </w:t>
      </w:r>
      <w:r>
        <w:t xml:space="preserve">У</w:t>
      </w:r>
      <w:r>
        <w:t xml:space="preserve">величение</w:t>
      </w:r>
      <w:r>
        <w:t xml:space="preserve"> </w:t>
      </w:r>
      <w:r>
        <w:t xml:space="preserve">планируемого поступления доходов от сдачи в аренду имущества, составляющего казну сельских поселений (за искл</w:t>
      </w:r>
      <w:r>
        <w:t xml:space="preserve">ючением земельных участков) на </w:t>
      </w:r>
      <w:r>
        <w:t xml:space="preserve">9,</w:t>
      </w:r>
      <w:r>
        <w:t xml:space="preserve">56</w:t>
      </w:r>
      <w:r>
        <w:t xml:space="preserve"> тыс. рублей.</w:t>
      </w:r>
      <w:r/>
    </w:p>
    <w:p>
      <w:pPr>
        <w:pStyle w:val="605"/>
        <w:ind w:left="113" w:right="57" w:hanging="113"/>
        <w:jc w:val="both"/>
      </w:pPr>
      <w:r>
        <w:t xml:space="preserve">1.2 Увеличение планируемого поступления доходов</w:t>
      </w:r>
      <w:r>
        <w:t xml:space="preserve"> </w:t>
      </w:r>
      <w:r>
        <w:t xml:space="preserve">от земельного налога с </w:t>
      </w:r>
      <w:r>
        <w:t xml:space="preserve">физических лиц</w:t>
      </w:r>
      <w:r>
        <w:t xml:space="preserve">, обладающих земельным участком, расположенным в границах сельских поселений (пени по соответствующему платежу)</w:t>
      </w:r>
      <w:r>
        <w:t xml:space="preserve"> на</w:t>
      </w:r>
      <w:r>
        <w:t xml:space="preserve"> 4</w:t>
      </w:r>
      <w:r>
        <w:t xml:space="preserve">,</w:t>
      </w:r>
      <w:r>
        <w:t xml:space="preserve">16</w:t>
      </w:r>
      <w:r>
        <w:t xml:space="preserve"> тыс. рублей</w:t>
      </w:r>
      <w:r>
        <w:t xml:space="preserve">.</w:t>
      </w:r>
      <w:r/>
    </w:p>
    <w:p>
      <w:pPr>
        <w:pStyle w:val="605"/>
        <w:ind w:left="113" w:right="57" w:hanging="113"/>
        <w:jc w:val="both"/>
      </w:pPr>
      <w:r>
        <w:t xml:space="preserve">1.3 </w:t>
      </w:r>
      <w:r>
        <w:t xml:space="preserve">Увеличение планируемого поступления </w:t>
      </w:r>
      <w:r>
        <w:t xml:space="preserve">субвенции бюджетам на осуществление первичного воинского учета на территориях, где отсутствуют военные комиссариаты</w:t>
      </w:r>
      <w:r>
        <w:t xml:space="preserve"> на</w:t>
      </w:r>
      <w:r>
        <w:t xml:space="preserve"> </w:t>
      </w:r>
      <w:r>
        <w:t xml:space="preserve">4</w:t>
      </w:r>
      <w:r>
        <w:t xml:space="preserve">,</w:t>
      </w:r>
      <w:r>
        <w:t xml:space="preserve">0</w:t>
      </w:r>
      <w:r>
        <w:t xml:space="preserve">0</w:t>
      </w:r>
      <w:r>
        <w:t xml:space="preserve"> тыс. рублей</w:t>
      </w:r>
      <w:r>
        <w:t xml:space="preserve">.</w:t>
      </w:r>
      <w:r/>
    </w:p>
    <w:p>
      <w:pPr>
        <w:pStyle w:val="605"/>
        <w:ind w:left="113" w:right="57" w:hanging="113"/>
        <w:jc w:val="both"/>
      </w:pPr>
      <w:r>
        <w:t xml:space="preserve">1.4 </w:t>
      </w:r>
      <w:r>
        <w:t xml:space="preserve">Увеличение планируемого поступления доходов от земельного налога с организаций, обладающих земельным участком, расположенным в границах сельских поселений (пени по соответствующему платежу) на 81,60 тыс. рублей.</w:t>
      </w:r>
      <w:r/>
    </w:p>
    <w:p>
      <w:pPr>
        <w:pStyle w:val="605"/>
        <w:ind w:left="113" w:right="57" w:hanging="113"/>
        <w:jc w:val="both"/>
      </w:pPr>
      <w:r>
        <w:t xml:space="preserve">1.</w:t>
      </w:r>
      <w:r>
        <w:t xml:space="preserve">5</w:t>
      </w:r>
      <w:r>
        <w:t xml:space="preserve"> Увеличение планируемого поступления дохода </w:t>
      </w:r>
      <w:r>
        <w:t xml:space="preserve">н</w:t>
      </w:r>
      <w:r>
        <w:t xml:space="preserve">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t xml:space="preserve"> на 20</w:t>
      </w:r>
      <w:r>
        <w:t xml:space="preserve">,</w:t>
      </w:r>
      <w:r>
        <w:t xml:space="preserve">4</w:t>
      </w:r>
      <w:r>
        <w:t xml:space="preserve">0 тыс. рублей.</w:t>
      </w:r>
      <w:r/>
    </w:p>
    <w:p>
      <w:pPr>
        <w:pStyle w:val="605"/>
        <w:ind w:left="113" w:right="57" w:hanging="113"/>
        <w:jc w:val="both"/>
      </w:pPr>
      <w:r>
        <w:t xml:space="preserve">1.</w:t>
      </w:r>
      <w:r>
        <w:t xml:space="preserve">6</w:t>
      </w:r>
      <w:r>
        <w:t xml:space="preserve"> </w:t>
      </w:r>
      <w:r>
        <w:t xml:space="preserve">Увеличение планируемого поступления доходов</w:t>
      </w:r>
      <w:r>
        <w:t xml:space="preserve"> от </w:t>
      </w:r>
      <w:r>
        <w:t xml:space="preserve">реализации иного имуще</w:t>
      </w:r>
      <w:r>
        <w:t xml:space="preserve">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</w:t>
      </w:r>
      <w:r>
        <w:rPr>
          <w:sz w:val="22"/>
          <w:szCs w:val="22"/>
        </w:rPr>
        <w:t xml:space="preserve"> </w:t>
      </w:r>
      <w:r>
        <w:t xml:space="preserve">имуществу</w:t>
      </w:r>
      <w:r>
        <w:t xml:space="preserve"> на</w:t>
      </w:r>
      <w:r>
        <w:t xml:space="preserve"> </w:t>
      </w:r>
      <w:r>
        <w:t xml:space="preserve">215</w:t>
      </w:r>
      <w:r>
        <w:t xml:space="preserve">,</w:t>
      </w:r>
      <w:r>
        <w:t xml:space="preserve">00</w:t>
      </w:r>
      <w:r>
        <w:t xml:space="preserve"> тыс. рублей</w:t>
      </w:r>
      <w:r>
        <w:t xml:space="preserve">.</w:t>
      </w:r>
      <w:r/>
    </w:p>
    <w:p>
      <w:pPr>
        <w:pStyle w:val="605"/>
        <w:ind w:left="113" w:right="57" w:hanging="113"/>
        <w:jc w:val="both"/>
      </w:pPr>
      <w:r>
        <w:t xml:space="preserve">1.</w:t>
      </w:r>
      <w:r>
        <w:t xml:space="preserve">7</w:t>
      </w:r>
      <w:r>
        <w:t xml:space="preserve"> </w:t>
      </w:r>
      <w:r>
        <w:t xml:space="preserve">Уменьшение планируемого поступления доходов от уплаты акцизов по подакцизным товарам (продукции), производимым на территории Российской Федерации </w:t>
      </w:r>
      <w:r>
        <w:t xml:space="preserve">на</w:t>
      </w:r>
      <w:r>
        <w:t xml:space="preserve"> </w:t>
      </w:r>
      <w:r>
        <w:t xml:space="preserve">52</w:t>
      </w:r>
      <w:r>
        <w:t xml:space="preserve">,15</w:t>
      </w:r>
      <w:r>
        <w:t xml:space="preserve"> тыс. рублей</w:t>
      </w:r>
      <w:r>
        <w:t xml:space="preserve"> (согласно уточненному прогнозу).</w:t>
      </w:r>
      <w:r/>
    </w:p>
    <w:p>
      <w:pPr>
        <w:pStyle w:val="605"/>
        <w:ind w:left="142" w:right="57" w:hanging="142"/>
        <w:jc w:val="both"/>
      </w:pPr>
      <w:r>
        <w:t xml:space="preserve">1.8</w:t>
      </w:r>
      <w:r>
        <w:t xml:space="preserve"> Увеличение меж</w:t>
      </w:r>
      <w:r>
        <w:t xml:space="preserve">бюджетных трансфертов местным бюджетам 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на </w:t>
      </w:r>
      <w:r>
        <w:t xml:space="preserve">120</w:t>
      </w:r>
      <w:r>
        <w:t xml:space="preserve">,</w:t>
      </w:r>
      <w:r>
        <w:t xml:space="preserve">0</w:t>
      </w:r>
      <w:r>
        <w:t xml:space="preserve">0</w:t>
      </w:r>
      <w:r>
        <w:t xml:space="preserve"> тыс. рублей.</w:t>
      </w:r>
      <w:r>
        <w:t xml:space="preserve"> </w:t>
      </w:r>
      <w:r/>
    </w:p>
    <w:p>
      <w:pPr>
        <w:pStyle w:val="605"/>
        <w:ind w:left="113" w:right="57" w:hanging="113"/>
        <w:jc w:val="both"/>
      </w:pPr>
      <w:r>
        <w:t xml:space="preserve"> </w:t>
      </w:r>
      <w:r/>
    </w:p>
    <w:p>
      <w:pPr>
        <w:pStyle w:val="605"/>
        <w:ind w:left="113" w:right="57" w:hanging="113"/>
        <w:jc w:val="both"/>
      </w:pPr>
      <w:r>
        <w:t xml:space="preserve">2</w:t>
      </w:r>
      <w:r>
        <w:t xml:space="preserve">. </w:t>
      </w:r>
      <w:r>
        <w:t xml:space="preserve">Обеспечением бюджетными ассигнованиями вновь принятых бюджетных обязательств и корректировкой ранее принятых</w:t>
      </w:r>
      <w:r>
        <w:t xml:space="preserve">.</w:t>
      </w:r>
      <w:r>
        <w:t xml:space="preserve"> </w:t>
      </w:r>
      <w:r/>
    </w:p>
    <w:p>
      <w:pPr>
        <w:pStyle w:val="605"/>
        <w:jc w:val="center"/>
      </w:pPr>
      <w:r/>
      <w:r/>
    </w:p>
    <w:p>
      <w:pPr>
        <w:pStyle w:val="605"/>
        <w:jc w:val="center"/>
      </w:pPr>
      <w:r/>
      <w:r/>
    </w:p>
    <w:p>
      <w:pPr>
        <w:pStyle w:val="605"/>
        <w:jc w:val="center"/>
      </w:pPr>
      <w:r>
        <w:t xml:space="preserve">Изменение основных характеристик бюджета.</w:t>
      </w:r>
      <w:r/>
    </w:p>
    <w:p>
      <w:pPr>
        <w:pStyle w:val="605"/>
        <w:jc w:val="both"/>
      </w:pPr>
      <w:r>
        <w:tab/>
      </w:r>
      <w:r/>
    </w:p>
    <w:p>
      <w:pPr>
        <w:pStyle w:val="605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2020</w:t>
      </w:r>
      <w:r>
        <w:t xml:space="preserve"> год</w:t>
      </w:r>
      <w:r>
        <w:t xml:space="preserve">:</w:t>
      </w:r>
      <w:r/>
    </w:p>
    <w:p>
      <w:pPr>
        <w:pStyle w:val="605"/>
        <w:jc w:val="right"/>
      </w:pPr>
      <w:r>
        <w:t xml:space="preserve">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5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5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5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5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5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5"/>
              <w:jc w:val="center"/>
            </w:pPr>
            <w:r>
              <w:t xml:space="preserve">5</w:t>
            </w:r>
            <w:r>
              <w:t xml:space="preserve"> </w:t>
            </w:r>
            <w:r>
              <w:t xml:space="preserve">619</w:t>
            </w:r>
            <w:r>
              <w:t xml:space="preserve">,</w:t>
            </w:r>
            <w:r>
              <w:t xml:space="preserve">35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5"/>
              <w:jc w:val="center"/>
            </w:pPr>
            <w:r>
              <w:t xml:space="preserve">+</w:t>
            </w:r>
            <w:r>
              <w:t xml:space="preserve">402</w:t>
            </w:r>
            <w:r>
              <w:t xml:space="preserve">,57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5"/>
            </w:pPr>
            <w:r>
              <w:t xml:space="preserve">                 6</w:t>
            </w:r>
            <w:r>
              <w:t xml:space="preserve"> </w:t>
            </w:r>
            <w:r>
              <w:t xml:space="preserve">021</w:t>
            </w:r>
            <w:r>
              <w:t xml:space="preserve">,</w:t>
            </w:r>
            <w:r>
              <w:t xml:space="preserve">92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5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5"/>
            </w:pPr>
            <w:r>
              <w:t xml:space="preserve">    </w:t>
            </w:r>
            <w:r>
              <w:t xml:space="preserve">-</w:t>
            </w:r>
            <w:r>
              <w:t xml:space="preserve">7</w:t>
            </w:r>
            <w:r>
              <w:t xml:space="preserve"> 334</w:t>
            </w:r>
            <w:r>
              <w:t xml:space="preserve">,</w:t>
            </w:r>
            <w:r>
              <w:t xml:space="preserve">15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5"/>
              <w:jc w:val="center"/>
            </w:pPr>
            <w:r>
              <w:t xml:space="preserve">-</w:t>
            </w:r>
            <w:r>
              <w:t xml:space="preserve">402</w:t>
            </w:r>
            <w:r>
              <w:t xml:space="preserve">,</w:t>
            </w:r>
            <w:r>
              <w:t xml:space="preserve">57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5"/>
            </w:pPr>
            <w:r>
              <w:t xml:space="preserve">                </w:t>
            </w:r>
            <w:r>
              <w:t xml:space="preserve">-</w:t>
            </w:r>
            <w:r>
              <w:t xml:space="preserve">7</w:t>
            </w:r>
            <w:r>
              <w:t xml:space="preserve"> </w:t>
            </w:r>
            <w:r>
              <w:t xml:space="preserve">736</w:t>
            </w:r>
            <w:r>
              <w:t xml:space="preserve">,</w:t>
            </w:r>
            <w:r>
              <w:t xml:space="preserve">72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5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5"/>
              <w:jc w:val="center"/>
            </w:pPr>
            <w:r/>
            <w:r/>
          </w:p>
          <w:p>
            <w:pPr>
              <w:pStyle w:val="605"/>
              <w:jc w:val="center"/>
            </w:pPr>
            <w:r>
              <w:t xml:space="preserve">-</w:t>
            </w:r>
            <w:r>
              <w:t xml:space="preserve">1 </w:t>
            </w:r>
            <w:r>
              <w:t xml:space="preserve">714</w:t>
            </w:r>
            <w:r>
              <w:t xml:space="preserve">,</w:t>
            </w:r>
            <w:r>
              <w:t xml:space="preserve">80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5"/>
              <w:jc w:val="center"/>
            </w:pPr>
            <w:r/>
            <w:r/>
          </w:p>
          <w:p>
            <w:pPr>
              <w:pStyle w:val="605"/>
              <w:jc w:val="center"/>
            </w:pPr>
            <w:r>
              <w:t xml:space="preserve">0</w:t>
            </w:r>
            <w:r>
              <w:t xml:space="preserve">,</w:t>
            </w:r>
            <w:r>
              <w:t xml:space="preserve">0</w:t>
            </w:r>
            <w:r>
              <w:t xml:space="preserve">0</w:t>
            </w:r>
            <w:r>
              <w:t xml:space="preserve"> 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5"/>
              <w:jc w:val="center"/>
            </w:pPr>
            <w:r/>
            <w:r/>
          </w:p>
          <w:p>
            <w:pPr>
              <w:pStyle w:val="605"/>
            </w:pPr>
            <w:r>
              <w:t xml:space="preserve">                </w:t>
            </w:r>
            <w:r>
              <w:t xml:space="preserve">-</w:t>
            </w:r>
            <w:r>
              <w:t xml:space="preserve">1 </w:t>
            </w:r>
            <w:r>
              <w:t xml:space="preserve">714</w:t>
            </w:r>
            <w:r>
              <w:t xml:space="preserve">,80</w:t>
            </w:r>
            <w:r/>
          </w:p>
        </w:tc>
      </w:tr>
    </w:tbl>
    <w:p>
      <w:pPr>
        <w:pStyle w:val="605"/>
      </w:pPr>
      <w:r/>
      <w:r/>
    </w:p>
    <w:p>
      <w:pPr>
        <w:pStyle w:val="605"/>
      </w:pPr>
      <w:r/>
      <w:r/>
    </w:p>
    <w:p>
      <w:pPr>
        <w:pStyle w:val="605"/>
        <w:jc w:val="center"/>
      </w:pPr>
      <w:r>
        <w:t xml:space="preserve">Изменение объема и структуры расходов.</w:t>
      </w:r>
      <w:r/>
    </w:p>
    <w:p>
      <w:pPr>
        <w:pStyle w:val="605"/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</w:t>
      </w:r>
      <w:r>
        <w:t xml:space="preserve">увеличение бюджетных ассигнований за счет средств местного бюджета</w:t>
      </w:r>
      <w:r>
        <w:t xml:space="preserve"> на 40</w:t>
      </w:r>
      <w:r>
        <w:t xml:space="preserve">2</w:t>
      </w:r>
      <w:r>
        <w:t xml:space="preserve">,57</w:t>
      </w:r>
      <w:r>
        <w:t xml:space="preserve"> тыс. рублей</w:t>
      </w:r>
      <w:r>
        <w:t xml:space="preserve">:</w:t>
      </w:r>
      <w:r/>
    </w:p>
    <w:p>
      <w:pPr>
        <w:pStyle w:val="605"/>
        <w:ind w:left="113" w:right="57" w:firstLine="454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5"/>
        <w:numPr>
          <w:ilvl w:val="0"/>
          <w:numId w:val="21"/>
        </w:numPr>
        <w:ind w:left="283" w:right="57" w:hanging="283"/>
        <w:jc w:val="left"/>
      </w:pPr>
      <w:r>
        <w:t xml:space="preserve">уменьшение расходов предлагается:</w:t>
      </w:r>
      <w:r>
        <w:rPr>
          <w:lang w:eastAsia="zh-CN"/>
        </w:rPr>
      </w:r>
      <w:r/>
    </w:p>
    <w:p>
      <w:pPr>
        <w:pStyle w:val="605"/>
        <w:ind w:left="283" w:right="57" w:firstLine="0"/>
        <w:jc w:val="left"/>
      </w:pPr>
      <w:r/>
      <w:r/>
    </w:p>
    <w:p>
      <w:pPr>
        <w:pStyle w:val="605"/>
        <w:ind w:left="0" w:right="57" w:firstLine="0"/>
        <w:jc w:val="left"/>
      </w:pPr>
      <w:r>
        <w:t xml:space="preserve"> - уменьше</w:t>
      </w:r>
      <w:r>
        <w:t xml:space="preserve">ние расходов по разделу</w:t>
      </w:r>
      <w:r>
        <w:t xml:space="preserve"> </w:t>
      </w:r>
      <w:r>
        <w:t xml:space="preserve">0107 «Обеспечение проведения выборов и референдумов» на </w:t>
      </w:r>
      <w:r>
        <w:t xml:space="preserve">1</w:t>
      </w:r>
      <w:r>
        <w:t xml:space="preserve">,</w:t>
      </w:r>
      <w:r>
        <w:t xml:space="preserve">42</w:t>
      </w:r>
      <w:r>
        <w:t xml:space="preserve"> тыс. рублей</w:t>
      </w:r>
      <w:r>
        <w:t xml:space="preserve"> (иные бюджетные ассигнования, за счет экономии по расходам, предусмотренным проведение выборов.)</w:t>
      </w:r>
      <w:r/>
    </w:p>
    <w:p>
      <w:pPr>
        <w:pStyle w:val="605"/>
        <w:ind w:left="113" w:right="57" w:hanging="113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5"/>
        <w:jc w:val="both"/>
        <w:tabs>
          <w:tab w:val="left" w:pos="0" w:leader="none"/>
        </w:tabs>
      </w:pPr>
      <w:r>
        <w:t xml:space="preserve"> </w:t>
      </w:r>
      <w:r>
        <w:t xml:space="preserve">2</w:t>
      </w:r>
      <w:r>
        <w:t xml:space="preserve">. увеличение по следующим разделам:</w:t>
      </w:r>
      <w:r/>
    </w:p>
    <w:p>
      <w:pPr>
        <w:pStyle w:val="605"/>
        <w:jc w:val="both"/>
        <w:tabs>
          <w:tab w:val="left" w:pos="0" w:leader="none"/>
        </w:tabs>
      </w:pPr>
      <w:r/>
      <w:r/>
    </w:p>
    <w:p>
      <w:pPr>
        <w:pStyle w:val="605"/>
        <w:jc w:val="both"/>
      </w:pPr>
      <w:r>
        <w:t xml:space="preserve">1</w:t>
      </w:r>
      <w:r>
        <w:t xml:space="preserve">.</w:t>
      </w:r>
      <w:r>
        <w:t xml:space="preserve">1</w:t>
      </w:r>
      <w:r>
        <w:t xml:space="preserve"> </w:t>
      </w:r>
      <w:r>
        <w:t xml:space="preserve">по разделу 0801 «Культура, кинематография» на 26</w:t>
      </w:r>
      <w:r>
        <w:t xml:space="preserve">0</w:t>
      </w:r>
      <w:r>
        <w:t xml:space="preserve">,</w:t>
      </w:r>
      <w:r>
        <w:t xml:space="preserve">00</w:t>
      </w:r>
      <w:r>
        <w:t xml:space="preserve"> тыс. рублей, в том числе:</w:t>
      </w:r>
      <w:r/>
    </w:p>
    <w:p>
      <w:pPr>
        <w:pStyle w:val="605"/>
        <w:jc w:val="both"/>
      </w:pPr>
      <w:r>
        <w:t xml:space="preserve"> - </w:t>
      </w:r>
      <w:r>
        <w:t xml:space="preserve">на оплату заработной платы и вносов;</w:t>
      </w:r>
      <w:r/>
    </w:p>
    <w:p>
      <w:pPr>
        <w:pStyle w:val="605"/>
        <w:jc w:val="both"/>
      </w:pPr>
      <w:r>
        <w:t xml:space="preserve"> </w:t>
      </w:r>
      <w:r>
        <w:t xml:space="preserve">- иные выплаты персоналу учреждений, за исключением ФОТ</w:t>
      </w:r>
      <w:r>
        <w:t xml:space="preserve"> (проезд в отпуск);</w:t>
      </w:r>
      <w:r/>
    </w:p>
    <w:p>
      <w:pPr>
        <w:pStyle w:val="605"/>
        <w:jc w:val="both"/>
      </w:pPr>
      <w:r>
        <w:t xml:space="preserve"> -</w:t>
      </w:r>
      <w:r>
        <w:t xml:space="preserve"> на оплату  товаров, работ и услуг для обеспечения государственных (муниципальных) нужд;</w:t>
      </w:r>
      <w:r/>
    </w:p>
    <w:p>
      <w:pPr>
        <w:pStyle w:val="605"/>
        <w:jc w:val="both"/>
      </w:pPr>
      <w:r>
        <w:t xml:space="preserve">1</w:t>
      </w:r>
      <w:r>
        <w:t xml:space="preserve">.</w:t>
      </w:r>
      <w:r>
        <w:t xml:space="preserve">2</w:t>
      </w:r>
      <w:r>
        <w:t xml:space="preserve">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</w:t>
      </w:r>
      <w:r>
        <w:t xml:space="preserve">69</w:t>
      </w:r>
      <w:r>
        <w:t xml:space="preserve">,</w:t>
      </w:r>
      <w:r>
        <w:t xml:space="preserve">99</w:t>
      </w:r>
      <w:r>
        <w:t xml:space="preserve"> тыс. рублей, в том числе:</w:t>
      </w:r>
      <w:r/>
    </w:p>
    <w:p>
      <w:pPr>
        <w:pStyle w:val="605"/>
        <w:jc w:val="both"/>
      </w:pPr>
      <w:r>
        <w:t xml:space="preserve">-</w:t>
      </w:r>
      <w:r>
        <w:t xml:space="preserve"> на оплату  товаров, работ и услуг для обеспечения государственных (муниципальных) нужд;</w:t>
      </w:r>
      <w:r/>
    </w:p>
    <w:p>
      <w:pPr>
        <w:pStyle w:val="605"/>
        <w:jc w:val="both"/>
      </w:pPr>
      <w:r>
        <w:t xml:space="preserve">1.3 по разделу 0409 «Дорожное хозяйство (дорожные фонды)» на 70</w:t>
      </w:r>
      <w:r>
        <w:t xml:space="preserve">,00 тыс. рублей, в том числе:</w:t>
      </w:r>
      <w:r/>
    </w:p>
    <w:p>
      <w:pPr>
        <w:pStyle w:val="605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605"/>
        <w:jc w:val="both"/>
      </w:pPr>
      <w:r>
        <w:t xml:space="preserve">1.4 </w:t>
      </w:r>
      <w:r>
        <w:t xml:space="preserve">по разделу 0203 «Мобилизационная и вневойсковая подготовка» на </w:t>
      </w:r>
      <w:r>
        <w:t xml:space="preserve">4</w:t>
      </w:r>
      <w:r>
        <w:t xml:space="preserve">,</w:t>
      </w:r>
      <w:r>
        <w:t xml:space="preserve">0</w:t>
      </w:r>
      <w:r>
        <w:t xml:space="preserve">0 тыс. рублей, в том числе:</w:t>
      </w:r>
      <w:r>
        <w:t xml:space="preserve"> </w:t>
      </w:r>
      <w:r/>
    </w:p>
    <w:p>
      <w:pPr>
        <w:pStyle w:val="605"/>
        <w:jc w:val="both"/>
      </w:pPr>
      <w:r>
        <w:t xml:space="preserve">  </w:t>
      </w:r>
      <w:r>
        <w:t xml:space="preserve">- на оплату  товаров, работ и услуг для обеспечения государственных (муниципальных) нужд.</w:t>
      </w:r>
      <w:r/>
    </w:p>
    <w:p>
      <w:pPr>
        <w:pStyle w:val="605"/>
        <w:jc w:val="both"/>
      </w:pPr>
      <w:r/>
      <w:r/>
    </w:p>
    <w:p>
      <w:pPr>
        <w:pStyle w:val="605"/>
        <w:ind w:firstLine="426"/>
        <w:jc w:val="center"/>
        <w:tabs>
          <w:tab w:val="left" w:pos="567" w:leader="none"/>
        </w:tabs>
      </w:pPr>
      <w:r/>
      <w:r/>
    </w:p>
    <w:p>
      <w:pPr>
        <w:pStyle w:val="605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605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</w:t>
      </w:r>
      <w:r>
        <w:t xml:space="preserve">не изменит</w:t>
      </w:r>
      <w:r>
        <w:t xml:space="preserve"> дефицит бюджета Элисенваарского сельского поселения</w:t>
      </w:r>
      <w:r>
        <w:t xml:space="preserve"> на 2020 год  который составит  1 </w:t>
      </w:r>
      <w:r>
        <w:t xml:space="preserve">714</w:t>
      </w:r>
      <w:r>
        <w:t xml:space="preserve">,80</w:t>
      </w:r>
      <w:r>
        <w:t xml:space="preserve"> тыс. рублей.</w:t>
      </w:r>
      <w:r/>
    </w:p>
    <w:p>
      <w:pPr>
        <w:pStyle w:val="612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2020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605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605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605"/>
        <w:ind w:firstLine="708"/>
        <w:jc w:val="both"/>
      </w:pPr>
      <w:r/>
      <w:r/>
    </w:p>
    <w:p>
      <w:pPr>
        <w:pStyle w:val="605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605"/>
        <w:rPr>
          <w:rFonts w:ascii="Calibri" w:hAnsi="Calibri"/>
          <w:color w:val="000000"/>
          <w:sz w:val="22"/>
          <w:szCs w:val="22"/>
        </w:rPr>
        <w:sectPr>
          <w:footnotePr/>
          <w:type w:val="nextPage"/>
          <w:pgSz w:w="11906" w:h="16838" w:orient="portrait"/>
          <w:pgMar w:top="709" w:right="1134" w:bottom="1134" w:left="993" w:header="709" w:footer="709"/>
          <w:cols w:num="1" w:sep="0" w:space="708" w:equalWidth="1"/>
          <w:docGrid w:linePitch="360"/>
        </w:sectPr>
      </w:pPr>
      <w:r>
        <w:rPr>
          <w:rFonts w:ascii="Calibri" w:hAnsi="Calibri"/>
          <w:color w:val="000000"/>
          <w:sz w:val="22"/>
          <w:szCs w:val="22"/>
        </w:rPr>
      </w:r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0"/>
        <w:gridCol w:w="1787"/>
        <w:gridCol w:w="1419"/>
        <w:gridCol w:w="530"/>
        <w:gridCol w:w="3037"/>
        <w:gridCol w:w="1275"/>
        <w:gridCol w:w="1418"/>
      </w:tblGrid>
      <w:tr>
        <w:trPr>
          <w:trHeight w:val="983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894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47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</w:t>
            </w:r>
            <w:r>
              <w:rPr>
                <w:color w:val="000000"/>
                <w:sz w:val="20"/>
                <w:szCs w:val="20"/>
              </w:rPr>
              <w:t xml:space="preserve">2</w:t>
            </w:r>
            <w:r>
              <w:rPr>
                <w:color w:val="000000"/>
                <w:sz w:val="20"/>
                <w:szCs w:val="20"/>
              </w:rPr>
              <w:t xml:space="preserve"> к пояснительной записке от       </w:t>
            </w:r>
            <w:r>
              <w:rPr>
                <w:color w:val="000000"/>
                <w:sz w:val="20"/>
                <w:szCs w:val="20"/>
              </w:rPr>
              <w:t xml:space="preserve">12</w:t>
            </w:r>
            <w:r>
              <w:rPr>
                <w:color w:val="000000"/>
                <w:sz w:val="20"/>
                <w:szCs w:val="20"/>
              </w:rPr>
              <w:t xml:space="preserve">.</w:t>
            </w:r>
            <w:r>
              <w:rPr>
                <w:color w:val="000000"/>
                <w:sz w:val="20"/>
                <w:szCs w:val="20"/>
              </w:rPr>
              <w:t xml:space="preserve">11</w:t>
            </w:r>
            <w:r>
              <w:rPr>
                <w:color w:val="000000"/>
                <w:sz w:val="20"/>
                <w:szCs w:val="20"/>
              </w:rPr>
              <w:t xml:space="preserve">.2020</w:t>
            </w:r>
            <w:r>
              <w:rPr>
                <w:color w:val="000000"/>
                <w:sz w:val="20"/>
                <w:szCs w:val="20"/>
              </w:rPr>
              <w:t xml:space="preserve"> года. </w:t>
            </w:r>
            <w:r/>
          </w:p>
        </w:tc>
      </w:tr>
      <w:tr>
        <w:trPr>
          <w:trHeight w:val="420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000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8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b/>
              </w:rPr>
              <w:t xml:space="preserve">ХХ</w:t>
            </w:r>
            <w:r>
              <w:rPr>
                <w:b/>
                <w:lang w:val="en-US" w:eastAsia="zh-CN"/>
              </w:rPr>
              <w:t xml:space="preserve">I</w:t>
            </w:r>
            <w:r>
              <w:rPr>
                <w:b/>
                <w:bCs/>
                <w:color w:val="000000"/>
              </w:rPr>
              <w:t xml:space="preserve"> 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изменений и дополнений в решение  </w:t>
            </w:r>
            <w:r>
              <w:rPr>
                <w:b/>
                <w:bCs/>
                <w:color w:val="000000"/>
              </w:rPr>
              <w:t xml:space="preserve">XVI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  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2020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24.12.2019</w:t>
            </w:r>
            <w:r>
              <w:rPr>
                <w:b/>
                <w:bCs/>
                <w:color w:val="000000"/>
              </w:rPr>
              <w:t xml:space="preserve"> г. №</w:t>
            </w:r>
            <w:r>
              <w:rPr>
                <w:b/>
                <w:bCs/>
                <w:color w:val="000000"/>
              </w:rPr>
              <w:t xml:space="preserve">16</w:t>
            </w:r>
            <w:r>
              <w:rPr>
                <w:b/>
                <w:bCs/>
                <w:color w:val="000000"/>
              </w:rPr>
              <w:t xml:space="preserve">/</w:t>
            </w:r>
            <w:r>
              <w:rPr>
                <w:b/>
                <w:bCs/>
                <w:color w:val="000000"/>
              </w:rPr>
              <w:t xml:space="preserve">51</w:t>
            </w:r>
            <w:r>
              <w:rPr>
                <w:b/>
                <w:bCs/>
                <w:color w:val="000000"/>
              </w:rPr>
              <w:t xml:space="preserve">-4</w:t>
            </w:r>
            <w:r>
              <w:rPr>
                <w:b/>
                <w:bCs/>
                <w:color w:val="000000"/>
              </w:rPr>
              <w:t xml:space="preserve"> .</w:t>
            </w:r>
            <w:r/>
          </w:p>
        </w:tc>
      </w:tr>
      <w:tr>
        <w:trPr>
          <w:trHeight w:val="330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894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638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тыс.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руб.</w:t>
            </w:r>
            <w:r/>
          </w:p>
        </w:tc>
      </w:tr>
      <w:tr>
        <w:trPr>
          <w:trHeight w:val="612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604" w:type="pct"/>
            <w:vAlign w:val="top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866" w:type="pct"/>
            <w:vAlign w:val="top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45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№ п/п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894" w:type="pct"/>
            <w:vAlign w:val="top"/>
            <w:textDirection w:val="lrTb"/>
            <w:noWrap w:val="false"/>
          </w:tcPr>
          <w:p>
            <w:pPr>
              <w:pStyle w:val="605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источника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710" w:type="pct"/>
            <w:vAlign w:val="top"/>
            <w:textDirection w:val="lrTb"/>
            <w:noWrap w:val="false"/>
          </w:tcPr>
          <w:p>
            <w:pPr>
              <w:pStyle w:val="605"/>
              <w:rPr>
                <w:color w:val="000000"/>
              </w:rPr>
            </w:pPr>
            <w:r>
              <w:rPr>
                <w:color w:val="000000"/>
              </w:rPr>
              <w:t xml:space="preserve">Сумма отклонений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№ п/п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05"/>
              <w:rPr>
                <w:color w:val="000000"/>
              </w:rPr>
            </w:pPr>
            <w:r>
              <w:rPr>
                <w:color w:val="000000"/>
              </w:rPr>
              <w:t xml:space="preserve">Направление расхода</w:t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638" w:type="pct"/>
            <w:vAlign w:val="top"/>
            <w:textDirection w:val="lrTb"/>
            <w:noWrap w:val="false"/>
          </w:tcPr>
          <w:p>
            <w:pPr>
              <w:pStyle w:val="605"/>
              <w:rPr>
                <w:color w:val="000000"/>
              </w:rPr>
            </w:pPr>
            <w:r>
              <w:rPr>
                <w:color w:val="000000"/>
              </w:rPr>
              <w:t xml:space="preserve">основание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Сумма отклонений</w:t>
            </w:r>
            <w:r/>
          </w:p>
        </w:tc>
      </w:tr>
      <w:tr>
        <w:trPr>
          <w:trHeight w:val="1058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1.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Налоговые</w:t>
            </w:r>
            <w:r>
              <w:rPr>
                <w:color w:val="000000"/>
                <w:sz w:val="20"/>
                <w:szCs w:val="20"/>
              </w:rPr>
              <w:t xml:space="preserve"> 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54</w:t>
            </w:r>
            <w:r>
              <w:rPr>
                <w:color w:val="000000"/>
                <w:sz w:val="20"/>
                <w:szCs w:val="20"/>
              </w:rPr>
              <w:t xml:space="preserve">,</w:t>
            </w:r>
            <w:r>
              <w:rPr>
                <w:color w:val="000000"/>
                <w:sz w:val="20"/>
                <w:szCs w:val="20"/>
              </w:rPr>
              <w:t xml:space="preserve">01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Обеспечение принятых обязательств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Расчет ГРБС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72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Неналоговые 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224</w:t>
            </w:r>
            <w:r>
              <w:rPr>
                <w:color w:val="000000"/>
                <w:sz w:val="20"/>
                <w:szCs w:val="20"/>
              </w:rPr>
              <w:t xml:space="preserve">,56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151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прочую закупку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0203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4,00</w:t>
            </w:r>
            <w:r>
              <w:rPr>
                <w:sz w:val="20"/>
              </w:rPr>
            </w:r>
            <w:r/>
          </w:p>
        </w:tc>
      </w:tr>
      <w:tr>
        <w:trPr>
          <w:trHeight w:val="72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151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прочую закупку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0409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70,00</w:t>
            </w:r>
            <w:r>
              <w:rPr>
                <w:sz w:val="20"/>
              </w:rPr>
            </w:r>
            <w:r/>
          </w:p>
        </w:tc>
      </w:tr>
      <w:tr>
        <w:trPr>
          <w:trHeight w:val="612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Всего собственных доходов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Специальные расходы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0107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 xml:space="preserve">-1,42</w:t>
            </w:r>
            <w:r>
              <w:rPr>
                <w:sz w:val="20"/>
              </w:rPr>
            </w:r>
            <w:r/>
          </w:p>
        </w:tc>
      </w:tr>
      <w:tr>
        <w:trPr>
          <w:trHeight w:val="563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Безвозмездные </w:t>
            </w:r>
            <w:r>
              <w:rPr>
                <w:color w:val="000000"/>
                <w:sz w:val="20"/>
                <w:szCs w:val="20"/>
              </w:rPr>
              <w:t xml:space="preserve">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124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прочую закупку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0104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 xml:space="preserve">69</w:t>
            </w:r>
            <w:r>
              <w:rPr>
                <w:color w:val="000000"/>
                <w:sz w:val="20"/>
                <w:szCs w:val="22"/>
              </w:rPr>
              <w:t xml:space="preserve">,</w:t>
            </w:r>
            <w:r>
              <w:rPr>
                <w:color w:val="000000"/>
                <w:sz w:val="20"/>
                <w:szCs w:val="22"/>
              </w:rPr>
              <w:t xml:space="preserve">99</w:t>
            </w:r>
            <w:r>
              <w:rPr>
                <w:sz w:val="20"/>
              </w:rPr>
            </w:r>
            <w:r/>
          </w:p>
        </w:tc>
      </w:tr>
      <w:tr>
        <w:trPr>
          <w:trHeight w:val="563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Дотация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прочую закупку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 xml:space="preserve">0801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  <w:t xml:space="preserve">98,66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765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3.2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Субсидии, субвенции</w:t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124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sz w:val="20"/>
              </w:rPr>
              <w:t xml:space="preserve">иные выплаты персоналу учреждений, за исключением ФОТ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  <w:t xml:space="preserve">0801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  <w:t xml:space="preserve">11,34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52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3.3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 трансферты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Расходы</w:t>
            </w:r>
            <w:r>
              <w:rPr>
                <w:color w:val="000000"/>
                <w:sz w:val="20"/>
                <w:szCs w:val="20"/>
              </w:rPr>
              <w:t xml:space="preserve"> на</w:t>
            </w:r>
            <w:r>
              <w:rPr>
                <w:color w:val="000000"/>
                <w:sz w:val="20"/>
                <w:szCs w:val="20"/>
              </w:rPr>
              <w:t xml:space="preserve"> выплату персоналу казенных учреждений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  <w:t xml:space="preserve">0801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  <w:t xml:space="preserve">150,00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58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3.4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</w:t>
            </w:r>
            <w:r>
              <w:rPr>
                <w:color w:val="000000"/>
                <w:sz w:val="20"/>
                <w:szCs w:val="20"/>
              </w:rPr>
              <w:t xml:space="preserve">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cantSplit/>
          <w:trHeight w:val="315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bottom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bottom"/>
            <w:vMerge w:val="restart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cantSplit/>
          <w:trHeight w:val="315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ДОХОДОВ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402</w:t>
            </w:r>
            <w:r>
              <w:rPr>
                <w:b/>
                <w:bCs/>
                <w:color w:val="000000"/>
              </w:rPr>
              <w:t xml:space="preserve">,</w:t>
            </w:r>
            <w:r>
              <w:rPr>
                <w:b/>
                <w:bCs/>
                <w:color w:val="000000"/>
              </w:rPr>
              <w:t xml:space="preserve">57</w:t>
            </w: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bottom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РАСХОДОВ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-402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57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</w:tr>
      <w:tr>
        <w:trPr>
          <w:cantSplit/>
          <w:trHeight w:val="315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bottom"/>
            <w:textDirection w:val="lrTb"/>
            <w:noWrap w:val="false"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cantSplit/>
          <w:trHeight w:val="330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519" w:type="pct"/>
            <w:vAlign w:val="bottom"/>
            <w:textDirection w:val="lrTb"/>
            <w:noWrap w:val="false"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trHeight w:val="330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1604" w:type="pct"/>
            <w:vAlign w:val="bottom"/>
            <w:textDirection w:val="lrTb"/>
            <w:noWrap w:val="false"/>
          </w:tcPr>
          <w:p>
            <w:pPr>
              <w:pStyle w:val="60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1784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trHeight w:val="62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05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604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Дефицит по бюджету 2020</w:t>
            </w:r>
            <w:r>
              <w:rPr>
                <w:b/>
                <w:bCs/>
                <w:color w:val="000000"/>
              </w:rPr>
              <w:t xml:space="preserve">г.</w:t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784" w:type="pct"/>
            <w:vAlign w:val="bottom"/>
            <w:textDirection w:val="lrTb"/>
            <w:noWrap w:val="false"/>
          </w:tcPr>
          <w:p>
            <w:pPr>
              <w:pStyle w:val="60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-1</w:t>
            </w:r>
            <w:r>
              <w:rPr>
                <w:b/>
                <w:bCs/>
                <w:color w:val="000000"/>
              </w:rPr>
              <w:t xml:space="preserve"> 714</w:t>
            </w:r>
            <w:r>
              <w:rPr>
                <w:b/>
                <w:bCs/>
                <w:color w:val="000000"/>
              </w:rPr>
              <w:t xml:space="preserve">,</w:t>
            </w:r>
            <w:r>
              <w:rPr>
                <w:b/>
                <w:bCs/>
                <w:color w:val="000000"/>
              </w:rPr>
              <w:t xml:space="preserve">80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60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0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709" w:right="1134" w:bottom="1134" w:left="993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5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5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5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5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5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5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5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5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5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5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5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5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5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5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5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5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5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5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5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5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5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5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5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5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5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5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5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05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5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5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5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5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5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5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5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5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5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5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5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5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5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5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5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5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5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5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5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5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5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5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5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5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5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5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5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5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5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5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5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5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5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5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5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5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5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5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5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5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5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5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5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5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5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5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5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5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5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5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5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5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605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05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605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605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605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605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5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5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05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605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05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05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05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05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05"/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33">
    <w:name w:val="Heading 1"/>
    <w:link w:val="43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4">
    <w:name w:val="Heading 1 Char"/>
    <w:link w:val="433"/>
    <w:uiPriority w:val="9"/>
    <w:rPr>
      <w:rFonts w:ascii="Arial" w:hAnsi="Arial" w:cs="Arial" w:eastAsia="Arial"/>
      <w:sz w:val="40"/>
      <w:szCs w:val="40"/>
    </w:rPr>
  </w:style>
  <w:style w:type="paragraph" w:styleId="435">
    <w:name w:val="Heading 2"/>
    <w:link w:val="43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36">
    <w:name w:val="Heading 2 Char"/>
    <w:link w:val="435"/>
    <w:uiPriority w:val="9"/>
    <w:rPr>
      <w:rFonts w:ascii="Arial" w:hAnsi="Arial" w:cs="Arial" w:eastAsia="Arial"/>
      <w:sz w:val="34"/>
    </w:rPr>
  </w:style>
  <w:style w:type="paragraph" w:styleId="437">
    <w:name w:val="Heading 3"/>
    <w:link w:val="43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38">
    <w:name w:val="Heading 3 Char"/>
    <w:link w:val="437"/>
    <w:uiPriority w:val="9"/>
    <w:rPr>
      <w:rFonts w:ascii="Arial" w:hAnsi="Arial" w:cs="Arial" w:eastAsia="Arial"/>
      <w:sz w:val="30"/>
      <w:szCs w:val="30"/>
    </w:rPr>
  </w:style>
  <w:style w:type="paragraph" w:styleId="439">
    <w:name w:val="Heading 4"/>
    <w:link w:val="44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0">
    <w:name w:val="Heading 4 Char"/>
    <w:link w:val="439"/>
    <w:uiPriority w:val="9"/>
    <w:rPr>
      <w:rFonts w:ascii="Arial" w:hAnsi="Arial" w:cs="Arial" w:eastAsia="Arial"/>
      <w:b/>
      <w:bCs/>
      <w:sz w:val="26"/>
      <w:szCs w:val="26"/>
    </w:rPr>
  </w:style>
  <w:style w:type="paragraph" w:styleId="441">
    <w:name w:val="Heading 5"/>
    <w:link w:val="44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2">
    <w:name w:val="Heading 5 Char"/>
    <w:link w:val="441"/>
    <w:uiPriority w:val="9"/>
    <w:rPr>
      <w:rFonts w:ascii="Arial" w:hAnsi="Arial" w:cs="Arial" w:eastAsia="Arial"/>
      <w:b/>
      <w:bCs/>
      <w:sz w:val="24"/>
      <w:szCs w:val="24"/>
    </w:rPr>
  </w:style>
  <w:style w:type="paragraph" w:styleId="443">
    <w:name w:val="Heading 6"/>
    <w:link w:val="44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4">
    <w:name w:val="Heading 6 Char"/>
    <w:link w:val="443"/>
    <w:uiPriority w:val="9"/>
    <w:rPr>
      <w:rFonts w:ascii="Arial" w:hAnsi="Arial" w:cs="Arial" w:eastAsia="Arial"/>
      <w:b/>
      <w:bCs/>
      <w:sz w:val="22"/>
      <w:szCs w:val="22"/>
    </w:rPr>
  </w:style>
  <w:style w:type="paragraph" w:styleId="445">
    <w:name w:val="Heading 7"/>
    <w:link w:val="44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46">
    <w:name w:val="Heading 7 Char"/>
    <w:link w:val="44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47">
    <w:name w:val="Heading 8"/>
    <w:link w:val="44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48">
    <w:name w:val="Heading 8 Char"/>
    <w:link w:val="447"/>
    <w:uiPriority w:val="9"/>
    <w:rPr>
      <w:rFonts w:ascii="Arial" w:hAnsi="Arial" w:cs="Arial" w:eastAsia="Arial"/>
      <w:i/>
      <w:iCs/>
      <w:sz w:val="22"/>
      <w:szCs w:val="22"/>
    </w:rPr>
  </w:style>
  <w:style w:type="paragraph" w:styleId="449">
    <w:name w:val="Heading 9"/>
    <w:link w:val="45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0">
    <w:name w:val="Heading 9 Char"/>
    <w:link w:val="449"/>
    <w:uiPriority w:val="9"/>
    <w:rPr>
      <w:rFonts w:ascii="Arial" w:hAnsi="Arial" w:cs="Arial" w:eastAsia="Arial"/>
      <w:i/>
      <w:iCs/>
      <w:sz w:val="21"/>
      <w:szCs w:val="21"/>
    </w:rPr>
  </w:style>
  <w:style w:type="paragraph" w:styleId="451">
    <w:name w:val="List Paragraph"/>
    <w:qFormat/>
    <w:uiPriority w:val="34"/>
    <w:pPr>
      <w:contextualSpacing w:val="true"/>
      <w:ind w:left="720"/>
    </w:pPr>
  </w:style>
  <w:style w:type="paragraph" w:styleId="452">
    <w:name w:val="No Spacing"/>
    <w:qFormat/>
    <w:uiPriority w:val="1"/>
    <w:pPr>
      <w:spacing w:lineRule="auto" w:line="240" w:after="0" w:before="0"/>
    </w:pPr>
  </w:style>
  <w:style w:type="paragraph" w:styleId="453">
    <w:name w:val="Title"/>
    <w:link w:val="45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4">
    <w:name w:val="Title Char"/>
    <w:link w:val="453"/>
    <w:uiPriority w:val="10"/>
    <w:rPr>
      <w:sz w:val="48"/>
      <w:szCs w:val="48"/>
    </w:rPr>
  </w:style>
  <w:style w:type="paragraph" w:styleId="455">
    <w:name w:val="Subtitle"/>
    <w:link w:val="456"/>
    <w:qFormat/>
    <w:uiPriority w:val="11"/>
    <w:rPr>
      <w:sz w:val="24"/>
      <w:szCs w:val="24"/>
    </w:rPr>
    <w:pPr>
      <w:spacing w:after="200" w:before="200"/>
    </w:pPr>
  </w:style>
  <w:style w:type="character" w:styleId="456">
    <w:name w:val="Subtitle Char"/>
    <w:link w:val="455"/>
    <w:uiPriority w:val="11"/>
    <w:rPr>
      <w:sz w:val="24"/>
      <w:szCs w:val="24"/>
    </w:rPr>
  </w:style>
  <w:style w:type="paragraph" w:styleId="457">
    <w:name w:val="Quote"/>
    <w:link w:val="458"/>
    <w:qFormat/>
    <w:uiPriority w:val="29"/>
    <w:rPr>
      <w:i/>
    </w:rPr>
    <w:pPr>
      <w:ind w:left="720" w:right="720"/>
    </w:pPr>
  </w:style>
  <w:style w:type="character" w:styleId="458">
    <w:name w:val="Quote Char"/>
    <w:link w:val="457"/>
    <w:uiPriority w:val="29"/>
    <w:rPr>
      <w:i/>
    </w:rPr>
  </w:style>
  <w:style w:type="paragraph" w:styleId="459">
    <w:name w:val="Intense Quote"/>
    <w:link w:val="46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0">
    <w:name w:val="Intense Quote Char"/>
    <w:link w:val="459"/>
    <w:uiPriority w:val="30"/>
    <w:rPr>
      <w:i/>
    </w:rPr>
  </w:style>
  <w:style w:type="paragraph" w:styleId="461">
    <w:name w:val="Header"/>
    <w:link w:val="46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2">
    <w:name w:val="Header Char"/>
    <w:link w:val="461"/>
    <w:uiPriority w:val="99"/>
  </w:style>
  <w:style w:type="paragraph" w:styleId="463">
    <w:name w:val="Footer"/>
    <w:link w:val="46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4">
    <w:name w:val="Footer Char"/>
    <w:link w:val="463"/>
    <w:uiPriority w:val="99"/>
  </w:style>
  <w:style w:type="table" w:styleId="465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6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7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8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9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70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1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2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3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4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6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9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4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5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96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97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98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99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00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1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2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3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4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5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06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07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08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09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10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1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2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3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4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29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30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1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2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3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4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5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0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1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2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3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6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57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58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59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60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1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2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3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4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5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66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67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68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69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70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1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2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3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4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5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6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7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8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9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0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1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2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3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4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5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86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87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88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89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90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91">
    <w:name w:val="Hyperlink"/>
    <w:uiPriority w:val="99"/>
    <w:unhideWhenUsed/>
    <w:rPr>
      <w:color w:val="0000FF" w:themeColor="hyperlink"/>
      <w:u w:val="single"/>
    </w:rPr>
  </w:style>
  <w:style w:type="paragraph" w:styleId="592">
    <w:name w:val="footnote text"/>
    <w:link w:val="593"/>
    <w:uiPriority w:val="99"/>
    <w:semiHidden/>
    <w:unhideWhenUsed/>
    <w:rPr>
      <w:sz w:val="18"/>
    </w:rPr>
    <w:pPr>
      <w:spacing w:lineRule="auto" w:line="240" w:after="40"/>
    </w:pPr>
  </w:style>
  <w:style w:type="character" w:styleId="593">
    <w:name w:val="Footnote Text Char"/>
    <w:link w:val="592"/>
    <w:uiPriority w:val="99"/>
    <w:rPr>
      <w:sz w:val="18"/>
    </w:rPr>
  </w:style>
  <w:style w:type="character" w:styleId="594">
    <w:name w:val="footnote reference"/>
    <w:uiPriority w:val="99"/>
    <w:unhideWhenUsed/>
    <w:rPr>
      <w:vertAlign w:val="superscript"/>
    </w:rPr>
  </w:style>
  <w:style w:type="paragraph" w:styleId="595">
    <w:name w:val="toc 1"/>
    <w:uiPriority w:val="39"/>
    <w:unhideWhenUsed/>
    <w:pPr>
      <w:ind w:left="0" w:right="0" w:firstLine="0"/>
      <w:spacing w:after="57"/>
    </w:pPr>
  </w:style>
  <w:style w:type="paragraph" w:styleId="596">
    <w:name w:val="toc 2"/>
    <w:uiPriority w:val="39"/>
    <w:unhideWhenUsed/>
    <w:pPr>
      <w:ind w:left="283" w:right="0" w:firstLine="0"/>
      <w:spacing w:after="57"/>
    </w:pPr>
  </w:style>
  <w:style w:type="paragraph" w:styleId="597">
    <w:name w:val="toc 3"/>
    <w:uiPriority w:val="39"/>
    <w:unhideWhenUsed/>
    <w:pPr>
      <w:ind w:left="567" w:right="0" w:firstLine="0"/>
      <w:spacing w:after="57"/>
    </w:pPr>
  </w:style>
  <w:style w:type="paragraph" w:styleId="598">
    <w:name w:val="toc 4"/>
    <w:uiPriority w:val="39"/>
    <w:unhideWhenUsed/>
    <w:pPr>
      <w:ind w:left="850" w:right="0" w:firstLine="0"/>
      <w:spacing w:after="57"/>
    </w:pPr>
  </w:style>
  <w:style w:type="paragraph" w:styleId="599">
    <w:name w:val="toc 5"/>
    <w:uiPriority w:val="39"/>
    <w:unhideWhenUsed/>
    <w:pPr>
      <w:ind w:left="1134" w:right="0" w:firstLine="0"/>
      <w:spacing w:after="57"/>
    </w:pPr>
  </w:style>
  <w:style w:type="paragraph" w:styleId="600">
    <w:name w:val="toc 6"/>
    <w:uiPriority w:val="39"/>
    <w:unhideWhenUsed/>
    <w:pPr>
      <w:ind w:left="1417" w:right="0" w:firstLine="0"/>
      <w:spacing w:after="57"/>
    </w:pPr>
  </w:style>
  <w:style w:type="paragraph" w:styleId="601">
    <w:name w:val="toc 7"/>
    <w:uiPriority w:val="39"/>
    <w:unhideWhenUsed/>
    <w:pPr>
      <w:ind w:left="1701" w:right="0" w:firstLine="0"/>
      <w:spacing w:after="57"/>
    </w:pPr>
  </w:style>
  <w:style w:type="paragraph" w:styleId="602">
    <w:name w:val="toc 8"/>
    <w:uiPriority w:val="39"/>
    <w:unhideWhenUsed/>
    <w:pPr>
      <w:ind w:left="1984" w:right="0" w:firstLine="0"/>
      <w:spacing w:after="57"/>
    </w:pPr>
  </w:style>
  <w:style w:type="paragraph" w:styleId="603">
    <w:name w:val="toc 9"/>
    <w:uiPriority w:val="39"/>
    <w:unhideWhenUsed/>
    <w:pPr>
      <w:ind w:left="2268" w:right="0" w:firstLine="0"/>
      <w:spacing w:after="57"/>
    </w:pPr>
  </w:style>
  <w:style w:type="paragraph" w:styleId="604">
    <w:name w:val="TOC Heading"/>
    <w:uiPriority w:val="39"/>
    <w:unhideWhenUsed/>
  </w:style>
  <w:style w:type="paragraph" w:styleId="605">
    <w:name w:val="Обычный"/>
    <w:next w:val="605"/>
    <w:link w:val="605"/>
    <w:rPr>
      <w:sz w:val="24"/>
      <w:szCs w:val="24"/>
      <w:lang w:val="ru-RU" w:bidi="ar-SA" w:eastAsia="ru-RU"/>
    </w:rPr>
  </w:style>
  <w:style w:type="paragraph" w:styleId="606">
    <w:name w:val="Заголовок 2"/>
    <w:basedOn w:val="605"/>
    <w:next w:val="606"/>
    <w:link w:val="610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607">
    <w:name w:val="Основной шрифт абзаца"/>
    <w:next w:val="607"/>
    <w:link w:val="605"/>
    <w:semiHidden/>
  </w:style>
  <w:style w:type="table" w:styleId="608">
    <w:name w:val="Обычная таблица"/>
    <w:next w:val="608"/>
    <w:link w:val="605"/>
    <w:semiHidden/>
    <w:tblPr/>
  </w:style>
  <w:style w:type="numbering" w:styleId="609">
    <w:name w:val="Нет списка"/>
    <w:next w:val="609"/>
    <w:link w:val="605"/>
    <w:semiHidden/>
  </w:style>
  <w:style w:type="character" w:styleId="610">
    <w:name w:val="Заголовок 2 Знак"/>
    <w:next w:val="610"/>
    <w:link w:val="606"/>
    <w:rPr>
      <w:b/>
      <w:bCs/>
      <w:sz w:val="36"/>
      <w:szCs w:val="36"/>
    </w:rPr>
  </w:style>
  <w:style w:type="paragraph" w:styleId="611">
    <w:name w:val="Основной текст"/>
    <w:basedOn w:val="605"/>
    <w:next w:val="611"/>
    <w:link w:val="605"/>
    <w:pPr>
      <w:jc w:val="both"/>
    </w:pPr>
  </w:style>
  <w:style w:type="paragraph" w:styleId="612">
    <w:name w:val="Текст выноски"/>
    <w:basedOn w:val="605"/>
    <w:next w:val="612"/>
    <w:link w:val="605"/>
    <w:semiHidden/>
    <w:rPr>
      <w:rFonts w:ascii="Tahoma" w:hAnsi="Tahoma"/>
      <w:sz w:val="16"/>
      <w:szCs w:val="16"/>
    </w:rPr>
  </w:style>
  <w:style w:type="paragraph" w:styleId="613">
    <w:name w:val=" Char Char"/>
    <w:basedOn w:val="605"/>
    <w:next w:val="613"/>
    <w:link w:val="605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14">
    <w:name w:val="Гиперссылка"/>
    <w:next w:val="614"/>
    <w:link w:val="605"/>
    <w:rPr>
      <w:color w:val="0000FF"/>
      <w:u w:val="single"/>
    </w:rPr>
  </w:style>
  <w:style w:type="character" w:styleId="615">
    <w:name w:val="blk"/>
    <w:basedOn w:val="607"/>
    <w:next w:val="615"/>
    <w:link w:val="605"/>
  </w:style>
  <w:style w:type="paragraph" w:styleId="616">
    <w:name w:val="Абзац списка"/>
    <w:basedOn w:val="605"/>
    <w:next w:val="616"/>
    <w:link w:val="605"/>
    <w:pPr>
      <w:contextualSpacing w:val="true"/>
      <w:ind w:left="720"/>
    </w:pPr>
  </w:style>
  <w:style w:type="paragraph" w:styleId="617">
    <w:name w:val="ConsPlusTitle"/>
    <w:next w:val="617"/>
    <w:link w:val="605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18">
    <w:name w:val="xl65"/>
    <w:basedOn w:val="605"/>
    <w:next w:val="618"/>
    <w:link w:val="605"/>
    <w:pPr>
      <w:spacing w:after="100" w:afterAutospacing="1" w:before="100" w:beforeAutospacing="1"/>
    </w:pPr>
  </w:style>
  <w:style w:type="paragraph" w:styleId="619">
    <w:name w:val="xl66"/>
    <w:basedOn w:val="605"/>
    <w:next w:val="619"/>
    <w:link w:val="605"/>
    <w:rPr>
      <w:i/>
      <w:iCs/>
    </w:rPr>
    <w:pPr>
      <w:spacing w:after="100" w:afterAutospacing="1" w:before="100" w:beforeAutospacing="1"/>
    </w:pPr>
  </w:style>
  <w:style w:type="paragraph" w:styleId="620">
    <w:name w:val="xl67"/>
    <w:basedOn w:val="605"/>
    <w:next w:val="620"/>
    <w:link w:val="605"/>
    <w:rPr>
      <w:b/>
      <w:bCs/>
    </w:rPr>
    <w:pPr>
      <w:spacing w:after="100" w:afterAutospacing="1" w:before="100" w:beforeAutospacing="1"/>
    </w:pPr>
  </w:style>
  <w:style w:type="paragraph" w:styleId="621">
    <w:name w:val="xl68"/>
    <w:basedOn w:val="605"/>
    <w:next w:val="621"/>
    <w:link w:val="605"/>
    <w:pPr>
      <w:jc w:val="center"/>
      <w:spacing w:after="100" w:afterAutospacing="1" w:before="100" w:beforeAutospacing="1"/>
    </w:pPr>
  </w:style>
  <w:style w:type="paragraph" w:styleId="622">
    <w:name w:val="xl69"/>
    <w:basedOn w:val="605"/>
    <w:next w:val="622"/>
    <w:link w:val="605"/>
    <w:rPr>
      <w:b/>
      <w:bCs/>
    </w:rPr>
    <w:pPr>
      <w:spacing w:after="100" w:afterAutospacing="1" w:before="100" w:beforeAutospacing="1"/>
    </w:pPr>
  </w:style>
  <w:style w:type="paragraph" w:styleId="623">
    <w:name w:val="xl70"/>
    <w:basedOn w:val="605"/>
    <w:next w:val="623"/>
    <w:link w:val="605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4">
    <w:name w:val="xl71"/>
    <w:basedOn w:val="605"/>
    <w:next w:val="624"/>
    <w:link w:val="605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5">
    <w:name w:val="xl72"/>
    <w:basedOn w:val="605"/>
    <w:next w:val="625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6">
    <w:name w:val="xl73"/>
    <w:basedOn w:val="605"/>
    <w:next w:val="626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7">
    <w:name w:val="xl74"/>
    <w:basedOn w:val="605"/>
    <w:next w:val="627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8">
    <w:name w:val="xl75"/>
    <w:basedOn w:val="605"/>
    <w:next w:val="628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9">
    <w:name w:val="xl76"/>
    <w:basedOn w:val="605"/>
    <w:next w:val="629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0">
    <w:name w:val="xl77"/>
    <w:basedOn w:val="605"/>
    <w:next w:val="630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1">
    <w:name w:val="xl78"/>
    <w:basedOn w:val="605"/>
    <w:next w:val="631"/>
    <w:link w:val="605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2">
    <w:name w:val="xl79"/>
    <w:basedOn w:val="605"/>
    <w:next w:val="632"/>
    <w:link w:val="605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3">
    <w:name w:val="xl80"/>
    <w:basedOn w:val="605"/>
    <w:next w:val="633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34">
    <w:name w:val="xl81"/>
    <w:basedOn w:val="605"/>
    <w:next w:val="634"/>
    <w:link w:val="605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35">
    <w:name w:val="xl82"/>
    <w:basedOn w:val="605"/>
    <w:next w:val="635"/>
    <w:link w:val="605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6">
    <w:name w:val="xl83"/>
    <w:basedOn w:val="605"/>
    <w:next w:val="636"/>
    <w:link w:val="605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7">
    <w:name w:val="xl84"/>
    <w:basedOn w:val="605"/>
    <w:next w:val="637"/>
    <w:link w:val="605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8">
    <w:name w:val="xl85"/>
    <w:basedOn w:val="605"/>
    <w:next w:val="638"/>
    <w:link w:val="605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9">
    <w:name w:val="xl86"/>
    <w:basedOn w:val="605"/>
    <w:next w:val="639"/>
    <w:link w:val="605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0">
    <w:name w:val="xl87"/>
    <w:basedOn w:val="605"/>
    <w:next w:val="640"/>
    <w:link w:val="605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1">
    <w:name w:val="xl88"/>
    <w:basedOn w:val="605"/>
    <w:next w:val="641"/>
    <w:link w:val="605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2">
    <w:name w:val="xl89"/>
    <w:basedOn w:val="605"/>
    <w:next w:val="642"/>
    <w:link w:val="605"/>
    <w:pPr>
      <w:spacing w:after="100" w:afterAutospacing="1" w:before="100" w:beforeAutospacing="1"/>
    </w:pPr>
  </w:style>
  <w:style w:type="paragraph" w:styleId="643">
    <w:name w:val="xl90"/>
    <w:basedOn w:val="605"/>
    <w:next w:val="643"/>
    <w:link w:val="605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4">
    <w:name w:val="xl91"/>
    <w:basedOn w:val="605"/>
    <w:next w:val="644"/>
    <w:link w:val="605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5">
    <w:name w:val="xl92"/>
    <w:basedOn w:val="605"/>
    <w:next w:val="645"/>
    <w:link w:val="605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46">
    <w:name w:val="xl93"/>
    <w:basedOn w:val="605"/>
    <w:next w:val="646"/>
    <w:link w:val="605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47">
    <w:name w:val="xl94"/>
    <w:basedOn w:val="605"/>
    <w:next w:val="647"/>
    <w:link w:val="605"/>
    <w:pPr>
      <w:jc w:val="center"/>
      <w:spacing w:after="100" w:afterAutospacing="1" w:before="100" w:beforeAutospacing="1"/>
    </w:pPr>
  </w:style>
  <w:style w:type="paragraph" w:styleId="648">
    <w:name w:val="xl95"/>
    <w:basedOn w:val="605"/>
    <w:next w:val="648"/>
    <w:link w:val="605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49">
    <w:name w:val="xl96"/>
    <w:basedOn w:val="605"/>
    <w:next w:val="649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0">
    <w:name w:val="xl97"/>
    <w:basedOn w:val="605"/>
    <w:next w:val="650"/>
    <w:link w:val="605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1">
    <w:name w:val="xl98"/>
    <w:basedOn w:val="605"/>
    <w:next w:val="651"/>
    <w:link w:val="605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2">
    <w:name w:val="xl99"/>
    <w:basedOn w:val="605"/>
    <w:next w:val="652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3">
    <w:name w:val="xl100"/>
    <w:basedOn w:val="605"/>
    <w:next w:val="653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4">
    <w:name w:val="xl101"/>
    <w:basedOn w:val="605"/>
    <w:next w:val="654"/>
    <w:link w:val="605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5">
    <w:name w:val="xl102"/>
    <w:basedOn w:val="605"/>
    <w:next w:val="655"/>
    <w:link w:val="605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103"/>
    <w:basedOn w:val="605"/>
    <w:next w:val="656"/>
    <w:link w:val="605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7">
    <w:name w:val="xl104"/>
    <w:basedOn w:val="605"/>
    <w:next w:val="657"/>
    <w:link w:val="605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8">
    <w:name w:val="xl105"/>
    <w:basedOn w:val="605"/>
    <w:next w:val="658"/>
    <w:link w:val="605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9">
    <w:name w:val="xl106"/>
    <w:basedOn w:val="605"/>
    <w:next w:val="659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0">
    <w:name w:val="xl107"/>
    <w:basedOn w:val="605"/>
    <w:next w:val="660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1">
    <w:name w:val="xl108"/>
    <w:basedOn w:val="605"/>
    <w:next w:val="661"/>
    <w:link w:val="605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2">
    <w:name w:val="xl109"/>
    <w:basedOn w:val="605"/>
    <w:next w:val="662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63">
    <w:name w:val="xl110"/>
    <w:basedOn w:val="605"/>
    <w:next w:val="663"/>
    <w:link w:val="605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4">
    <w:name w:val="xl111"/>
    <w:basedOn w:val="605"/>
    <w:next w:val="664"/>
    <w:link w:val="605"/>
    <w:pPr>
      <w:jc w:val="center"/>
      <w:spacing w:after="100" w:afterAutospacing="1" w:before="100" w:beforeAutospacing="1"/>
    </w:pPr>
  </w:style>
  <w:style w:type="paragraph" w:styleId="665">
    <w:name w:val="xl112"/>
    <w:basedOn w:val="605"/>
    <w:next w:val="665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66">
    <w:name w:val="xl113"/>
    <w:basedOn w:val="605"/>
    <w:next w:val="666"/>
    <w:link w:val="605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67">
    <w:name w:val="xl114"/>
    <w:basedOn w:val="605"/>
    <w:next w:val="667"/>
    <w:link w:val="605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8">
    <w:name w:val="xl115"/>
    <w:basedOn w:val="605"/>
    <w:next w:val="668"/>
    <w:link w:val="605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69">
    <w:name w:val="xl116"/>
    <w:basedOn w:val="605"/>
    <w:next w:val="669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0">
    <w:name w:val="xl117"/>
    <w:basedOn w:val="605"/>
    <w:next w:val="670"/>
    <w:link w:val="605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1">
    <w:name w:val="xl118"/>
    <w:basedOn w:val="605"/>
    <w:next w:val="671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2">
    <w:name w:val="xl119"/>
    <w:basedOn w:val="605"/>
    <w:next w:val="672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3">
    <w:name w:val="xl120"/>
    <w:basedOn w:val="605"/>
    <w:next w:val="673"/>
    <w:link w:val="605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74">
    <w:name w:val="xl121"/>
    <w:basedOn w:val="605"/>
    <w:next w:val="674"/>
    <w:link w:val="605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75">
    <w:name w:val="xl122"/>
    <w:basedOn w:val="605"/>
    <w:next w:val="675"/>
    <w:link w:val="605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76">
    <w:name w:val="xl123"/>
    <w:basedOn w:val="605"/>
    <w:next w:val="676"/>
    <w:link w:val="605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7">
    <w:name w:val="xl124"/>
    <w:basedOn w:val="605"/>
    <w:next w:val="677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8">
    <w:name w:val="xl125"/>
    <w:basedOn w:val="605"/>
    <w:next w:val="678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79">
    <w:name w:val="xl126"/>
    <w:basedOn w:val="605"/>
    <w:next w:val="679"/>
    <w:link w:val="605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80">
    <w:name w:val="xl127"/>
    <w:basedOn w:val="605"/>
    <w:next w:val="680"/>
    <w:link w:val="605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81">
    <w:name w:val="xl128"/>
    <w:basedOn w:val="605"/>
    <w:next w:val="681"/>
    <w:link w:val="605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2">
    <w:name w:val="xl129"/>
    <w:basedOn w:val="605"/>
    <w:next w:val="682"/>
    <w:link w:val="605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3">
    <w:name w:val="xl130"/>
    <w:basedOn w:val="605"/>
    <w:next w:val="683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4">
    <w:name w:val="xl131"/>
    <w:basedOn w:val="605"/>
    <w:next w:val="684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5">
    <w:name w:val="xl132"/>
    <w:basedOn w:val="605"/>
    <w:next w:val="685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86">
    <w:name w:val="xl133"/>
    <w:basedOn w:val="605"/>
    <w:next w:val="686"/>
    <w:link w:val="605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87">
    <w:name w:val="xl134"/>
    <w:basedOn w:val="605"/>
    <w:next w:val="687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688">
    <w:name w:val="xl135"/>
    <w:basedOn w:val="605"/>
    <w:next w:val="688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689">
    <w:name w:val="xl136"/>
    <w:basedOn w:val="605"/>
    <w:next w:val="689"/>
    <w:link w:val="605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690">
    <w:name w:val="xl137"/>
    <w:basedOn w:val="605"/>
    <w:next w:val="690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91">
    <w:name w:val="xl138"/>
    <w:basedOn w:val="605"/>
    <w:next w:val="691"/>
    <w:link w:val="605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92">
    <w:name w:val="xl139"/>
    <w:basedOn w:val="605"/>
    <w:next w:val="692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93">
    <w:name w:val="xl140"/>
    <w:basedOn w:val="605"/>
    <w:next w:val="693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694">
    <w:name w:val="xl141"/>
    <w:basedOn w:val="605"/>
    <w:next w:val="694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5">
    <w:name w:val="xl142"/>
    <w:basedOn w:val="605"/>
    <w:next w:val="695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696">
    <w:name w:val="xl143"/>
    <w:basedOn w:val="605"/>
    <w:next w:val="696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697">
    <w:name w:val="xl144"/>
    <w:basedOn w:val="605"/>
    <w:next w:val="697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698">
    <w:name w:val="xl145"/>
    <w:basedOn w:val="605"/>
    <w:next w:val="698"/>
    <w:link w:val="605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699">
    <w:name w:val="xl146"/>
    <w:basedOn w:val="605"/>
    <w:next w:val="699"/>
    <w:link w:val="605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00">
    <w:name w:val="xl147"/>
    <w:basedOn w:val="605"/>
    <w:next w:val="700"/>
    <w:link w:val="605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701">
    <w:name w:val="Основной текст с отступом"/>
    <w:basedOn w:val="605"/>
    <w:next w:val="701"/>
    <w:link w:val="702"/>
    <w:pPr>
      <w:ind w:left="283"/>
      <w:spacing w:after="120"/>
    </w:pPr>
  </w:style>
  <w:style w:type="character" w:styleId="702">
    <w:name w:val="Основной текст с отступом Знак"/>
    <w:next w:val="702"/>
    <w:link w:val="701"/>
    <w:rPr>
      <w:sz w:val="24"/>
      <w:szCs w:val="24"/>
      <w:lang w:val="ru-RU" w:bidi="ar-SA" w:eastAsia="ru-RU"/>
    </w:rPr>
  </w:style>
  <w:style w:type="character" w:styleId="703" w:default="1">
    <w:name w:val="Default Paragraph Font"/>
    <w:uiPriority w:val="1"/>
    <w:semiHidden/>
    <w:unhideWhenUsed/>
  </w:style>
  <w:style w:type="numbering" w:styleId="704" w:default="1">
    <w:name w:val="No List"/>
    <w:uiPriority w:val="99"/>
    <w:semiHidden/>
    <w:unhideWhenUsed/>
  </w:style>
  <w:style w:type="paragraph" w:styleId="705" w:default="1">
    <w:name w:val="Normal"/>
    <w:qFormat/>
  </w:style>
  <w:style w:type="table" w:styleId="70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2020-11-08T16:55:02Z</dcterms:modified>
</cp:coreProperties>
</file>