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апрел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Специалисты Управления Росреестра по Республике Карелия проведут горячие линии, </w:t>
      </w:r>
      <w:r>
        <w:rPr>
          <w:rFonts w:ascii="Segoe UI" w:hAnsi="Segoe UI" w:cs="Segoe UI"/>
          <w:sz w:val="24"/>
          <w:szCs w:val="24"/>
        </w:rPr>
        <w:t xml:space="preserve">«Сделки, подлежащие обязательному нотариальному заверению» - ко Дню нотариата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Телефоны горячих линий:</w:t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spacing w:line="360" w:lineRule="auto"/>
        <w:shd w:val="clear" w:color="auto" w:fill="ffffff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8 (8142) 76-75-91; 8 (8142) 76-57-82 (г. Петрозаводск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)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657">
    <w:name w:val="apple-converted-space"/>
    <w:next w:val="657"/>
    <w:link w:val="644"/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19</cp:revision>
  <dcterms:created xsi:type="dcterms:W3CDTF">2023-06-02T06:29:00Z</dcterms:created>
  <dcterms:modified xsi:type="dcterms:W3CDTF">2025-04-08T05:26:04Z</dcterms:modified>
  <cp:version>983040</cp:version>
</cp:coreProperties>
</file>