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7"/>
        <w:jc w:val="center"/>
      </w:pPr>
      <w:r>
        <w:t xml:space="preserve">ПОЯСНИТЕЛЬНАЯ ЗАПИСКА</w:t>
      </w:r>
      <w:r/>
    </w:p>
    <w:p>
      <w:pPr>
        <w:pStyle w:val="597"/>
        <w:jc w:val="center"/>
      </w:pPr>
      <w:r/>
      <w:r/>
    </w:p>
    <w:p>
      <w:pPr>
        <w:pStyle w:val="597"/>
        <w:jc w:val="center"/>
        <w:rPr>
          <w:lang w:eastAsia="zh-CN"/>
        </w:rPr>
      </w:pPr>
      <w:r>
        <w:rPr>
          <w:lang w:eastAsia="zh-CN"/>
        </w:rPr>
        <w:t xml:space="preserve">к решению</w:t>
      </w:r>
      <w:r>
        <w:rPr>
          <w:lang w:eastAsia="zh-CN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ХХII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I</w:t>
      </w:r>
      <w:r>
        <w:rPr>
          <w:lang w:eastAsia="zh-CN"/>
        </w:rPr>
        <w:t xml:space="preserve"> </w:t>
      </w:r>
      <w:r>
        <w:rPr>
          <w:lang w:eastAsia="zh-CN"/>
        </w:rPr>
        <w:t xml:space="preserve">сессии </w:t>
      </w:r>
      <w:r>
        <w:rPr>
          <w:lang w:val="en-US" w:eastAsia="zh-CN"/>
        </w:rPr>
        <w:t xml:space="preserve">IV</w:t>
      </w:r>
      <w:r>
        <w:rPr>
          <w:lang w:eastAsia="zh-CN"/>
        </w:rPr>
        <w:t xml:space="preserve"> созыва Совета Элисенваарского сельского поселения «О внесении изменений и дополнений в решение 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ХХII</w:t>
      </w:r>
      <w:r>
        <w:rPr>
          <w:lang w:eastAsia="zh-CN"/>
        </w:rPr>
        <w:t xml:space="preserve"> </w:t>
      </w:r>
      <w:r>
        <w:rPr>
          <w:lang w:eastAsia="zh-CN"/>
        </w:rPr>
        <w:t xml:space="preserve">сессии </w:t>
      </w:r>
      <w:r>
        <w:rPr>
          <w:lang w:val="en-US" w:eastAsia="zh-CN"/>
        </w:rPr>
        <w:t xml:space="preserve">IV</w:t>
      </w:r>
      <w:r>
        <w:rPr>
          <w:lang w:eastAsia="zh-CN"/>
        </w:rPr>
        <w:t xml:space="preserve"> созыва </w:t>
      </w:r>
      <w:r/>
    </w:p>
    <w:p>
      <w:pPr>
        <w:pStyle w:val="597"/>
        <w:jc w:val="center"/>
        <w:rPr>
          <w:lang w:eastAsia="zh-CN"/>
        </w:rPr>
      </w:pPr>
      <w:r>
        <w:rPr>
          <w:lang w:eastAsia="zh-CN"/>
        </w:rPr>
        <w:t xml:space="preserve">Совета Элисенваарского  сельского поселения «О  бюджете Элисе</w:t>
      </w:r>
      <w:r>
        <w:rPr>
          <w:lang w:eastAsia="zh-CN"/>
        </w:rPr>
        <w:t xml:space="preserve">нваарского  сельского поселения</w:t>
      </w:r>
      <w:r>
        <w:rPr>
          <w:lang w:eastAsia="zh-CN"/>
        </w:rPr>
        <w:t xml:space="preserve"> на  20</w:t>
      </w:r>
      <w:r>
        <w:rPr>
          <w:lang w:eastAsia="zh-CN"/>
        </w:rPr>
        <w:t xml:space="preserve">21</w:t>
      </w:r>
      <w:r>
        <w:rPr>
          <w:lang w:eastAsia="zh-CN"/>
        </w:rPr>
        <w:t xml:space="preserve"> год» от  </w:t>
      </w:r>
      <w:r>
        <w:rPr>
          <w:lang w:eastAsia="zh-CN"/>
        </w:rPr>
        <w:t xml:space="preserve">22</w:t>
      </w:r>
      <w:r>
        <w:rPr>
          <w:lang w:eastAsia="zh-CN"/>
        </w:rPr>
        <w:t xml:space="preserve">.12.2020</w:t>
      </w:r>
      <w:r>
        <w:rPr>
          <w:lang w:eastAsia="zh-CN"/>
        </w:rPr>
        <w:t xml:space="preserve"> г. №</w:t>
      </w:r>
      <w:r>
        <w:rPr>
          <w:lang w:eastAsia="zh-CN"/>
        </w:rPr>
        <w:t xml:space="preserve"> 22</w:t>
      </w:r>
      <w:r>
        <w:rPr>
          <w:lang w:eastAsia="zh-CN"/>
        </w:rPr>
        <w:t xml:space="preserve">/73</w:t>
      </w:r>
      <w:r>
        <w:rPr>
          <w:lang w:eastAsia="zh-CN"/>
        </w:rPr>
        <w:t xml:space="preserve">-4.</w:t>
      </w:r>
      <w:r/>
    </w:p>
    <w:p>
      <w:pPr>
        <w:pStyle w:val="597"/>
        <w:jc w:val="center"/>
      </w:pPr>
      <w:r/>
      <w:r/>
    </w:p>
    <w:p>
      <w:pPr>
        <w:pStyle w:val="597"/>
        <w:ind w:firstLine="426"/>
        <w:jc w:val="both"/>
        <w:rPr>
          <w:lang w:eastAsia="zh-CN"/>
        </w:rPr>
      </w:pPr>
      <w:r>
        <w:t xml:space="preserve"> </w:t>
      </w:r>
      <w:r>
        <w:rPr>
          <w:lang w:eastAsia="zh-CN"/>
        </w:rPr>
        <w:t xml:space="preserve">Администрацией Элисенваарского сельско</w:t>
      </w:r>
      <w:r>
        <w:rPr>
          <w:lang w:eastAsia="zh-CN"/>
        </w:rPr>
        <w:t xml:space="preserve">го поселения на рассмотрение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 ХХII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I</w:t>
      </w:r>
      <w:r/>
      <w:r>
        <w:rPr>
          <w:lang w:eastAsia="zh-CN"/>
        </w:rPr>
        <w:t xml:space="preserve">     </w:t>
      </w:r>
      <w:r>
        <w:rPr>
          <w:lang w:eastAsia="zh-CN"/>
        </w:rPr>
        <w:t xml:space="preserve">сессии </w:t>
      </w:r>
      <w:r>
        <w:rPr>
          <w:lang w:val="en-US" w:eastAsia="zh-CN"/>
        </w:rPr>
        <w:t xml:space="preserve">IV</w:t>
      </w:r>
      <w:r>
        <w:rPr>
          <w:lang w:eastAsia="zh-CN"/>
        </w:rPr>
        <w:t xml:space="preserve"> созыва Совета Элисенваарского сельского поселения выносится решение о внесении изменений и дополнений в решение 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ХХII</w:t>
      </w:r>
      <w:r>
        <w:rPr>
          <w:lang w:eastAsia="zh-CN"/>
        </w:rPr>
        <w:t xml:space="preserve"> сессии </w:t>
      </w:r>
      <w:r>
        <w:rPr>
          <w:lang w:val="en-US" w:eastAsia="zh-CN"/>
        </w:rPr>
        <w:t xml:space="preserve">IV</w:t>
      </w:r>
      <w:r>
        <w:rPr>
          <w:lang w:eastAsia="zh-CN"/>
        </w:rPr>
        <w:t xml:space="preserve"> созыва Совета  Элисенваарского  сельского поселения </w:t>
      </w:r>
      <w:r>
        <w:rPr>
          <w:lang w:eastAsia="zh-CN"/>
        </w:rPr>
        <w:t xml:space="preserve">22</w:t>
      </w:r>
      <w:r>
        <w:rPr>
          <w:lang w:eastAsia="zh-CN"/>
        </w:rPr>
        <w:t xml:space="preserve">.12.2020</w:t>
      </w:r>
      <w:r>
        <w:rPr>
          <w:lang w:eastAsia="zh-CN"/>
        </w:rPr>
        <w:t xml:space="preserve"> г. №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 22/73-4</w:t>
      </w:r>
      <w:r>
        <w:rPr>
          <w:lang w:eastAsia="zh-CN"/>
        </w:rPr>
        <w:t xml:space="preserve"> года «О  бюджете Элисенваарско</w:t>
      </w:r>
      <w:r>
        <w:rPr>
          <w:lang w:eastAsia="zh-CN"/>
        </w:rPr>
        <w:t xml:space="preserve">го  сельского поселения на  20</w:t>
      </w:r>
      <w:r>
        <w:rPr>
          <w:lang w:eastAsia="zh-CN"/>
        </w:rPr>
        <w:t xml:space="preserve">21</w:t>
      </w:r>
      <w:r>
        <w:rPr>
          <w:lang w:eastAsia="zh-CN"/>
        </w:rPr>
        <w:t xml:space="preserve"> год».</w:t>
      </w:r>
      <w:r>
        <w:rPr>
          <w:lang w:eastAsia="zh-CN"/>
        </w:rPr>
      </w:r>
      <w:r/>
    </w:p>
    <w:p>
      <w:pPr>
        <w:pStyle w:val="597"/>
        <w:ind w:firstLine="426"/>
        <w:jc w:val="both"/>
        <w:rPr>
          <w:lang w:eastAsia="zh-CN"/>
        </w:rPr>
      </w:pPr>
      <w:r>
        <w:rPr>
          <w:lang w:eastAsia="zh-CN"/>
        </w:rPr>
      </w:r>
      <w:r/>
    </w:p>
    <w:p>
      <w:pPr>
        <w:pStyle w:val="597"/>
        <w:ind w:right="57"/>
        <w:jc w:val="both"/>
      </w:pPr>
      <w:r/>
      <w:r/>
    </w:p>
    <w:p>
      <w:pPr>
        <w:pStyle w:val="597"/>
        <w:ind w:right="57"/>
        <w:jc w:val="both"/>
      </w:pPr>
      <w:r>
        <w:t xml:space="preserve">1</w:t>
      </w:r>
      <w:r>
        <w:t xml:space="preserve">. Проектом предусмотрено </w:t>
      </w:r>
      <w:r>
        <w:t xml:space="preserve">увеличение</w:t>
      </w:r>
      <w:r>
        <w:t xml:space="preserve"> утвержденного плана по доходам на </w:t>
      </w:r>
      <w:r>
        <w:t xml:space="preserve">178</w:t>
      </w:r>
      <w:r>
        <w:t xml:space="preserve">,</w:t>
      </w:r>
      <w:r>
        <w:t xml:space="preserve">00</w:t>
      </w:r>
      <w:r>
        <w:t xml:space="preserve"> </w:t>
      </w:r>
      <w:r>
        <w:t xml:space="preserve">тыс. рублей (приложение №1 к пояснительной записке) </w:t>
      </w:r>
      <w:r>
        <w:t xml:space="preserve">в том числе:</w:t>
      </w:r>
      <w:r/>
    </w:p>
    <w:p>
      <w:pPr>
        <w:pStyle w:val="597"/>
        <w:ind w:left="113" w:right="57" w:hanging="113"/>
        <w:jc w:val="both"/>
      </w:pPr>
      <w:r/>
      <w:r/>
    </w:p>
    <w:p>
      <w:pPr>
        <w:pStyle w:val="597"/>
        <w:ind w:right="57"/>
        <w:jc w:val="both"/>
      </w:pPr>
      <w:r>
        <w:t xml:space="preserve">1</w:t>
      </w:r>
      <w:r>
        <w:t xml:space="preserve">.1</w:t>
      </w:r>
      <w:r>
        <w:t xml:space="preserve"> </w:t>
      </w:r>
      <w:r>
        <w:t xml:space="preserve">Увеличение планируемого поступления доходов</w:t>
      </w:r>
      <w:r>
        <w:t xml:space="preserve"> </w:t>
      </w:r>
      <w:r>
        <w:t xml:space="preserve">от земельного налога с </w:t>
      </w:r>
      <w:r>
        <w:t xml:space="preserve">физических лиц</w:t>
      </w:r>
      <w:r>
        <w:t xml:space="preserve">, обладающих земельным участком, расположенным в границах сельских поселений (пени по соответствующему платежу)</w:t>
      </w:r>
      <w:r>
        <w:t xml:space="preserve"> на</w:t>
      </w:r>
      <w:r>
        <w:t xml:space="preserve"> 5</w:t>
      </w:r>
      <w:r>
        <w:t xml:space="preserve">,</w:t>
      </w:r>
      <w:r>
        <w:t xml:space="preserve">13</w:t>
      </w:r>
      <w:r>
        <w:t xml:space="preserve"> тыс. рублей</w:t>
      </w:r>
      <w:r/>
    </w:p>
    <w:p>
      <w:pPr>
        <w:pStyle w:val="597"/>
        <w:ind w:left="113" w:right="57" w:hanging="113"/>
        <w:jc w:val="both"/>
      </w:pPr>
      <w:r/>
      <w:r/>
    </w:p>
    <w:p>
      <w:pPr>
        <w:pStyle w:val="597"/>
        <w:ind w:right="57"/>
        <w:jc w:val="both"/>
      </w:pPr>
      <w:r>
        <w:t xml:space="preserve">1.2 </w:t>
      </w:r>
      <w:r>
        <w:t xml:space="preserve">Увеличение планируемого поступления доходов</w:t>
      </w:r>
      <w:r>
        <w:t xml:space="preserve"> от продажи земельных участков</w:t>
      </w:r>
      <w:r>
        <w:t xml:space="preserve">, находящегося в собственности сельских поселений (за исключением земельных участков муниципальных бюджетных и автономных учреждений)</w:t>
      </w:r>
      <w:r>
        <w:t xml:space="preserve"> на</w:t>
      </w:r>
      <w:r>
        <w:t xml:space="preserve"> </w:t>
      </w:r>
      <w:r>
        <w:t xml:space="preserve">136</w:t>
      </w:r>
      <w:r>
        <w:t xml:space="preserve">,</w:t>
      </w:r>
      <w:r>
        <w:t xml:space="preserve">0</w:t>
      </w:r>
      <w:r>
        <w:t xml:space="preserve">0</w:t>
      </w:r>
      <w:r>
        <w:t xml:space="preserve"> тыс. рублей</w:t>
      </w:r>
      <w:r>
        <w:t xml:space="preserve">.</w:t>
      </w:r>
      <w:r/>
    </w:p>
    <w:p>
      <w:pPr>
        <w:pStyle w:val="597"/>
        <w:ind w:left="0" w:right="57" w:firstLine="0"/>
        <w:jc w:val="both"/>
      </w:pPr>
      <w:r/>
      <w:r/>
    </w:p>
    <w:p>
      <w:pPr>
        <w:pStyle w:val="597"/>
        <w:ind w:right="57"/>
        <w:jc w:val="both"/>
      </w:pPr>
      <w:r>
        <w:t xml:space="preserve">1.</w:t>
      </w:r>
      <w:r>
        <w:t xml:space="preserve">3</w:t>
      </w:r>
      <w:r>
        <w:t xml:space="preserve"> </w:t>
      </w:r>
      <w:r>
        <w:t xml:space="preserve">Увеличение планируемого поступления доходов от уплаты акцизов по подакцизным товарам (продукции), производимым на территории Российской Федерации </w:t>
      </w:r>
      <w:r>
        <w:t xml:space="preserve">на</w:t>
      </w:r>
      <w:r>
        <w:t xml:space="preserve"> 36</w:t>
      </w:r>
      <w:r>
        <w:t xml:space="preserve">,</w:t>
      </w:r>
      <w:r>
        <w:t xml:space="preserve">87</w:t>
      </w:r>
      <w:r>
        <w:t xml:space="preserve"> тыс. рублей.</w:t>
      </w:r>
      <w:r/>
    </w:p>
    <w:p>
      <w:pPr>
        <w:pStyle w:val="597"/>
        <w:ind w:left="0" w:right="57" w:firstLine="0"/>
        <w:jc w:val="both"/>
      </w:pPr>
      <w:r/>
      <w:r/>
    </w:p>
    <w:p>
      <w:pPr>
        <w:pStyle w:val="597"/>
        <w:ind w:right="57"/>
        <w:jc w:val="both"/>
      </w:pPr>
      <w:r>
        <w:t xml:space="preserve">2. Обеспечением бюджетными ассигнованиями вновь принятых бюджетных обязательств и корректировкой ранее принятых.</w:t>
      </w:r>
      <w:r/>
    </w:p>
    <w:p>
      <w:pPr>
        <w:pStyle w:val="597"/>
      </w:pPr>
      <w:r/>
      <w:r/>
    </w:p>
    <w:p>
      <w:pPr>
        <w:pStyle w:val="597"/>
        <w:jc w:val="center"/>
      </w:pPr>
      <w:r>
        <w:t xml:space="preserve">Изменение основных характеристик бюджета.</w:t>
      </w:r>
      <w:r/>
    </w:p>
    <w:p>
      <w:pPr>
        <w:pStyle w:val="597"/>
        <w:jc w:val="both"/>
      </w:pPr>
      <w:r>
        <w:tab/>
      </w:r>
      <w:r/>
    </w:p>
    <w:p>
      <w:pPr>
        <w:pStyle w:val="597"/>
        <w:jc w:val="both"/>
      </w:pPr>
      <w:r>
        <w:t xml:space="preserve">Проектом предлагается утвердить уточненные основные характеристики бюджета </w:t>
      </w:r>
      <w:r>
        <w:t xml:space="preserve">Элисенваарского</w:t>
      </w:r>
      <w:r>
        <w:t xml:space="preserve"> сельского поселения</w:t>
      </w:r>
      <w:r>
        <w:t xml:space="preserve"> на </w:t>
      </w:r>
      <w:r>
        <w:t xml:space="preserve">20</w:t>
      </w:r>
      <w:r>
        <w:t xml:space="preserve">21</w:t>
      </w:r>
      <w:r>
        <w:t xml:space="preserve"> год</w:t>
      </w:r>
      <w:r>
        <w:t xml:space="preserve">:</w:t>
      </w:r>
      <w:r/>
    </w:p>
    <w:p>
      <w:pPr>
        <w:pStyle w:val="597"/>
      </w:pPr>
      <w:r/>
      <w:r/>
    </w:p>
    <w:p>
      <w:pPr>
        <w:pStyle w:val="597"/>
        <w:jc w:val="left"/>
      </w:pPr>
      <w:r/>
      <w:r/>
    </w:p>
    <w:p>
      <w:pPr>
        <w:pStyle w:val="597"/>
        <w:jc w:val="right"/>
      </w:pPr>
      <w:r>
        <w:t xml:space="preserve">тыс</w:t>
      </w:r>
      <w:r>
        <w:t xml:space="preserve">. р</w:t>
      </w:r>
      <w:r>
        <w:t xml:space="preserve">уб.</w:t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1809"/>
        <w:gridCol w:w="1738"/>
        <w:gridCol w:w="2513"/>
        <w:gridCol w:w="3228"/>
      </w:tblGrid>
      <w:tr>
        <w:trPr/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Показатели</w:t>
            </w:r>
            <w:r/>
          </w:p>
        </w:tc>
        <w:tc>
          <w:tcPr>
            <w:tcW w:w="1738" w:type="dxa"/>
            <w:vAlign w:val="top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Утверждено по бюджету</w:t>
            </w:r>
            <w:r/>
          </w:p>
        </w:tc>
        <w:tc>
          <w:tcPr>
            <w:tcW w:w="2513" w:type="dxa"/>
            <w:vAlign w:val="top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Предложения по корректировкам</w:t>
            </w:r>
            <w:r/>
          </w:p>
        </w:tc>
        <w:tc>
          <w:tcPr>
            <w:tcW w:w="3228" w:type="dxa"/>
            <w:vAlign w:val="top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Параметры проекта бюджета</w:t>
            </w:r>
            <w:r/>
          </w:p>
        </w:tc>
      </w:tr>
      <w:tr>
        <w:trPr/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597"/>
            </w:pPr>
            <w:r>
              <w:t xml:space="preserve">1. Доходы</w:t>
            </w:r>
            <w:r/>
          </w:p>
        </w:tc>
        <w:tc>
          <w:tcPr>
            <w:tcW w:w="1738" w:type="dxa"/>
            <w:vAlign w:val="top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4</w:t>
            </w:r>
            <w:r>
              <w:t xml:space="preserve"> </w:t>
            </w:r>
            <w:r>
              <w:t xml:space="preserve">385</w:t>
            </w:r>
            <w:r>
              <w:t xml:space="preserve">,</w:t>
            </w:r>
            <w:r>
              <w:t xml:space="preserve">96</w:t>
            </w:r>
            <w:r/>
          </w:p>
        </w:tc>
        <w:tc>
          <w:tcPr>
            <w:tcW w:w="2513" w:type="dxa"/>
            <w:vAlign w:val="top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+</w:t>
            </w:r>
            <w:r>
              <w:t xml:space="preserve">178</w:t>
            </w:r>
            <w:r>
              <w:t xml:space="preserve">,00</w:t>
            </w:r>
            <w:r/>
          </w:p>
        </w:tc>
        <w:tc>
          <w:tcPr>
            <w:tcW w:w="3228" w:type="dxa"/>
            <w:vAlign w:val="top"/>
            <w:textDirection w:val="lrTb"/>
            <w:noWrap w:val="false"/>
          </w:tcPr>
          <w:p>
            <w:pPr>
              <w:pStyle w:val="597"/>
            </w:pPr>
            <w:r>
              <w:t xml:space="preserve">                 4</w:t>
            </w:r>
            <w:r>
              <w:t xml:space="preserve"> </w:t>
            </w:r>
            <w:r>
              <w:t xml:space="preserve">563</w:t>
            </w:r>
            <w:r>
              <w:t xml:space="preserve">,</w:t>
            </w:r>
            <w:r>
              <w:t xml:space="preserve">96</w:t>
            </w:r>
            <w:r>
              <w:t xml:space="preserve"> </w:t>
            </w:r>
            <w:r/>
          </w:p>
        </w:tc>
      </w:tr>
      <w:tr>
        <w:trPr/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597"/>
            </w:pPr>
            <w:r>
              <w:t xml:space="preserve">2. Расходы</w:t>
            </w:r>
            <w:r/>
          </w:p>
        </w:tc>
        <w:tc>
          <w:tcPr>
            <w:tcW w:w="1738" w:type="dxa"/>
            <w:vAlign w:val="top"/>
            <w:textDirection w:val="lrTb"/>
            <w:noWrap w:val="false"/>
          </w:tcPr>
          <w:p>
            <w:pPr>
              <w:pStyle w:val="597"/>
            </w:pPr>
            <w:r>
              <w:t xml:space="preserve">    </w:t>
            </w:r>
            <w:r>
              <w:t xml:space="preserve">-</w:t>
            </w:r>
            <w:r>
              <w:t xml:space="preserve">4</w:t>
            </w:r>
            <w:r>
              <w:t xml:space="preserve"> 916</w:t>
            </w:r>
            <w:r>
              <w:t xml:space="preserve">,5</w:t>
            </w:r>
            <w:r>
              <w:t xml:space="preserve">0</w:t>
            </w:r>
            <w:r/>
          </w:p>
        </w:tc>
        <w:tc>
          <w:tcPr>
            <w:tcW w:w="2513" w:type="dxa"/>
            <w:vAlign w:val="top"/>
            <w:textDirection w:val="lrTb"/>
            <w:noWrap w:val="false"/>
          </w:tcPr>
          <w:p>
            <w:pPr>
              <w:pStyle w:val="597"/>
              <w:jc w:val="center"/>
            </w:pPr>
            <w:r>
              <w:t xml:space="preserve">-1</w:t>
            </w:r>
            <w:r>
              <w:t xml:space="preserve"> </w:t>
            </w:r>
            <w:r>
              <w:t xml:space="preserve">160</w:t>
            </w:r>
            <w:r>
              <w:t xml:space="preserve">,</w:t>
            </w:r>
            <w:r>
              <w:t xml:space="preserve">00</w:t>
            </w:r>
            <w:r/>
          </w:p>
        </w:tc>
        <w:tc>
          <w:tcPr>
            <w:tcW w:w="3228" w:type="dxa"/>
            <w:vAlign w:val="top"/>
            <w:textDirection w:val="lrTb"/>
            <w:noWrap w:val="false"/>
          </w:tcPr>
          <w:p>
            <w:pPr>
              <w:pStyle w:val="597"/>
            </w:pPr>
            <w:r>
              <w:t xml:space="preserve">                </w:t>
            </w:r>
            <w:r>
              <w:t xml:space="preserve">-</w:t>
            </w:r>
            <w:r>
              <w:t xml:space="preserve">6</w:t>
            </w:r>
            <w:r>
              <w:t xml:space="preserve"> </w:t>
            </w:r>
            <w:r>
              <w:t xml:space="preserve">076</w:t>
            </w:r>
            <w:r>
              <w:t xml:space="preserve">,</w:t>
            </w:r>
            <w:r>
              <w:t xml:space="preserve">50</w:t>
            </w:r>
            <w:r/>
          </w:p>
        </w:tc>
      </w:tr>
      <w:tr>
        <w:trPr/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597"/>
            </w:pPr>
            <w:r>
              <w:t xml:space="preserve">3. Дефицит</w:t>
            </w:r>
            <w:r>
              <w:t xml:space="preserve"> (-)/ Профицит(+)</w:t>
            </w:r>
            <w:r/>
          </w:p>
        </w:tc>
        <w:tc>
          <w:tcPr>
            <w:tcW w:w="1738" w:type="dxa"/>
            <w:vAlign w:val="top"/>
            <w:textDirection w:val="lrTb"/>
            <w:noWrap w:val="false"/>
          </w:tcPr>
          <w:p>
            <w:pPr>
              <w:pStyle w:val="597"/>
              <w:jc w:val="center"/>
            </w:pPr>
            <w:r/>
            <w:r/>
          </w:p>
          <w:p>
            <w:pPr>
              <w:pStyle w:val="597"/>
              <w:jc w:val="center"/>
            </w:pPr>
            <w:r>
              <w:t xml:space="preserve">-</w:t>
            </w:r>
            <w:r>
              <w:t xml:space="preserve">530</w:t>
            </w:r>
            <w:r>
              <w:t xml:space="preserve">,</w:t>
            </w:r>
            <w:r>
              <w:t xml:space="preserve">5</w:t>
            </w:r>
            <w:r>
              <w:t xml:space="preserve">4</w:t>
            </w:r>
            <w:r/>
          </w:p>
        </w:tc>
        <w:tc>
          <w:tcPr>
            <w:tcW w:w="2513" w:type="dxa"/>
            <w:vAlign w:val="top"/>
            <w:textDirection w:val="lrTb"/>
            <w:noWrap w:val="false"/>
          </w:tcPr>
          <w:p>
            <w:pPr>
              <w:pStyle w:val="597"/>
              <w:jc w:val="center"/>
            </w:pPr>
            <w:r/>
            <w:r/>
          </w:p>
          <w:p>
            <w:pPr>
              <w:pStyle w:val="597"/>
              <w:jc w:val="center"/>
            </w:pPr>
            <w:r>
              <w:t xml:space="preserve">-982</w:t>
            </w:r>
            <w:r>
              <w:t xml:space="preserve">,00</w:t>
            </w:r>
            <w:r/>
          </w:p>
        </w:tc>
        <w:tc>
          <w:tcPr>
            <w:tcW w:w="3228" w:type="dxa"/>
            <w:vAlign w:val="top"/>
            <w:textDirection w:val="lrTb"/>
            <w:noWrap w:val="false"/>
          </w:tcPr>
          <w:p>
            <w:pPr>
              <w:pStyle w:val="597"/>
              <w:jc w:val="center"/>
            </w:pPr>
            <w:r/>
            <w:r/>
          </w:p>
          <w:p>
            <w:pPr>
              <w:pStyle w:val="597"/>
            </w:pPr>
            <w:r>
              <w:t xml:space="preserve">                </w:t>
            </w:r>
            <w:r>
              <w:t xml:space="preserve">-</w:t>
            </w:r>
            <w:r>
              <w:t xml:space="preserve">1</w:t>
            </w:r>
            <w:r>
              <w:t xml:space="preserve"> </w:t>
            </w:r>
            <w:r>
              <w:t xml:space="preserve">512,</w:t>
            </w:r>
            <w:r>
              <w:t xml:space="preserve">54</w:t>
            </w:r>
            <w:r/>
          </w:p>
        </w:tc>
      </w:tr>
    </w:tbl>
    <w:p>
      <w:pPr>
        <w:pStyle w:val="597"/>
      </w:pPr>
      <w:r/>
      <w:r/>
    </w:p>
    <w:p>
      <w:pPr>
        <w:pStyle w:val="597"/>
      </w:pPr>
      <w:r/>
      <w:r/>
    </w:p>
    <w:p>
      <w:pPr>
        <w:pStyle w:val="597"/>
        <w:jc w:val="center"/>
      </w:pPr>
      <w:r>
        <w:t xml:space="preserve">Изменение объема и структуры расходов.</w:t>
      </w:r>
      <w:r/>
    </w:p>
    <w:p>
      <w:pPr>
        <w:pStyle w:val="597"/>
        <w:ind w:left="113" w:right="57" w:firstLine="454"/>
        <w:jc w:val="both"/>
      </w:pPr>
      <w:r>
        <w:t xml:space="preserve">       </w:t>
      </w:r>
      <w:r>
        <w:rPr>
          <w:lang w:eastAsia="zh-CN"/>
        </w:rPr>
        <w:t xml:space="preserve">Проектом решения предлагаются изменения  структуры расходов бюджета Элисенваарского сельского поселения, обусловле</w:t>
      </w:r>
      <w:r>
        <w:rPr>
          <w:lang w:eastAsia="zh-CN"/>
        </w:rPr>
        <w:t xml:space="preserve">н</w:t>
      </w:r>
      <w:r>
        <w:rPr>
          <w:lang w:eastAsia="zh-CN"/>
        </w:rPr>
        <w:t xml:space="preserve">ны</w:t>
      </w:r>
      <w:r>
        <w:rPr>
          <w:lang w:eastAsia="zh-CN"/>
        </w:rPr>
        <w:t xml:space="preserve">е</w:t>
      </w:r>
      <w:r>
        <w:rPr>
          <w:lang w:eastAsia="zh-CN"/>
        </w:rPr>
        <w:t xml:space="preserve"> необходимостью корректировки</w:t>
      </w:r>
      <w:r>
        <w:rPr>
          <w:lang w:eastAsia="zh-CN"/>
        </w:rPr>
        <w:t xml:space="preserve"> объемов расходных обязательств. </w:t>
      </w:r>
      <w:r>
        <w:t xml:space="preserve">Так, в расходной части бюджета</w:t>
      </w:r>
      <w:r>
        <w:t xml:space="preserve">, </w:t>
      </w:r>
      <w:r>
        <w:t xml:space="preserve">по пре</w:t>
      </w:r>
      <w:r>
        <w:t xml:space="preserve">д</w:t>
      </w:r>
      <w:r>
        <w:t xml:space="preserve">ложенному проекту, предусмотрено</w:t>
      </w:r>
      <w:r>
        <w:t xml:space="preserve"> </w:t>
      </w:r>
      <w:r>
        <w:t xml:space="preserve"> </w:t>
      </w:r>
      <w:r>
        <w:t xml:space="preserve">увеличение</w:t>
      </w:r>
      <w:r>
        <w:t xml:space="preserve"> бюджетных ассигнований за счет средств местного бюджета</w:t>
      </w:r>
      <w:r>
        <w:t xml:space="preserve"> на </w:t>
      </w:r>
      <w:r>
        <w:t xml:space="preserve">1160</w:t>
      </w:r>
      <w:r>
        <w:t xml:space="preserve">,00</w:t>
      </w:r>
      <w:r>
        <w:t xml:space="preserve"> тыс. рублей</w:t>
      </w:r>
      <w:r>
        <w:t xml:space="preserve">:</w:t>
      </w:r>
      <w:r/>
    </w:p>
    <w:p>
      <w:pPr>
        <w:pStyle w:val="597"/>
        <w:ind w:right="57"/>
        <w:jc w:val="both"/>
        <w:rPr>
          <w:lang w:eastAsia="zh-CN"/>
        </w:rPr>
      </w:pPr>
      <w:r>
        <w:rPr>
          <w:lang w:eastAsia="zh-CN"/>
        </w:rPr>
      </w:r>
      <w:r/>
    </w:p>
    <w:p>
      <w:pPr>
        <w:pStyle w:val="597"/>
        <w:jc w:val="both"/>
        <w:tabs>
          <w:tab w:val="left" w:pos="0" w:leader="none"/>
        </w:tabs>
      </w:pPr>
      <w:r>
        <w:t xml:space="preserve"> </w:t>
      </w:r>
      <w:r/>
    </w:p>
    <w:p>
      <w:pPr>
        <w:pStyle w:val="597"/>
        <w:jc w:val="both"/>
        <w:tabs>
          <w:tab w:val="left" w:pos="0" w:leader="none"/>
        </w:tabs>
      </w:pPr>
      <w:r>
        <w:t xml:space="preserve">1</w:t>
      </w:r>
      <w:r>
        <w:t xml:space="preserve">. увеличение по следующим разделам:</w:t>
      </w:r>
      <w:r/>
    </w:p>
    <w:p>
      <w:pPr>
        <w:pStyle w:val="597"/>
        <w:jc w:val="both"/>
        <w:tabs>
          <w:tab w:val="left" w:pos="0" w:leader="none"/>
        </w:tabs>
      </w:pPr>
      <w:r/>
      <w:r/>
    </w:p>
    <w:p>
      <w:pPr>
        <w:pStyle w:val="597"/>
        <w:jc w:val="both"/>
      </w:pPr>
      <w:r>
        <w:t xml:space="preserve">1</w:t>
      </w:r>
      <w:r>
        <w:t xml:space="preserve">.</w:t>
      </w:r>
      <w:r>
        <w:t xml:space="preserve">1</w:t>
      </w:r>
      <w:r>
        <w:t xml:space="preserve"> </w:t>
      </w:r>
      <w:r>
        <w:t xml:space="preserve">по разделу 0801 «Культура, кинематография» на </w:t>
      </w:r>
      <w:r>
        <w:t xml:space="preserve">200</w:t>
      </w:r>
      <w:r>
        <w:t xml:space="preserve">,</w:t>
      </w:r>
      <w:r>
        <w:t xml:space="preserve">0</w:t>
      </w:r>
      <w:r>
        <w:t xml:space="preserve">0</w:t>
      </w:r>
      <w:r>
        <w:t xml:space="preserve"> тыс. рублей, в том числе:</w:t>
      </w:r>
      <w:r/>
    </w:p>
    <w:p>
      <w:pPr>
        <w:pStyle w:val="597"/>
        <w:jc w:val="both"/>
      </w:pPr>
      <w:r>
        <w:t xml:space="preserve">- </w:t>
      </w:r>
      <w:r>
        <w:t xml:space="preserve">на оплату  товаров, работ и услуг для обеспечения государственных (муниципальных) нужд</w:t>
      </w:r>
      <w:r>
        <w:t xml:space="preserve">;</w:t>
      </w:r>
      <w:r/>
    </w:p>
    <w:p>
      <w:pPr>
        <w:pStyle w:val="597"/>
        <w:jc w:val="both"/>
      </w:pPr>
      <w:r/>
      <w:r/>
    </w:p>
    <w:p>
      <w:pPr>
        <w:pStyle w:val="597"/>
        <w:jc w:val="both"/>
      </w:pPr>
      <w:r>
        <w:t xml:space="preserve">1</w:t>
      </w:r>
      <w:r>
        <w:t xml:space="preserve">.2 </w:t>
      </w:r>
      <w:r>
        <w:t xml:space="preserve">по разделу 0</w:t>
      </w:r>
      <w:r>
        <w:t xml:space="preserve">1</w:t>
      </w:r>
      <w:r>
        <w:t xml:space="preserve">0</w:t>
      </w:r>
      <w:r>
        <w:t xml:space="preserve">4</w:t>
      </w:r>
      <w:r>
        <w:t xml:space="preserve"> </w:t>
      </w:r>
      <w:r>
        <w:t xml:space="preserve">«Центральный аппарат»</w:t>
      </w:r>
      <w:r>
        <w:t xml:space="preserve"> на </w:t>
      </w:r>
      <w:r>
        <w:t xml:space="preserve">420</w:t>
      </w:r>
      <w:r>
        <w:t xml:space="preserve">,</w:t>
      </w:r>
      <w:r>
        <w:t xml:space="preserve">0</w:t>
      </w:r>
      <w:r>
        <w:t xml:space="preserve">0</w:t>
      </w:r>
      <w:r>
        <w:t xml:space="preserve"> тыс. рублей, в том числе:</w:t>
      </w:r>
      <w:r/>
    </w:p>
    <w:p>
      <w:pPr>
        <w:pStyle w:val="597"/>
        <w:jc w:val="both"/>
      </w:pPr>
      <w:r>
        <w:t xml:space="preserve">-</w:t>
      </w:r>
      <w:r>
        <w:t xml:space="preserve"> на оплату  товаров, работ и услуг для обеспечения государственных (муниципальных) нужд;</w:t>
      </w:r>
      <w:r/>
    </w:p>
    <w:p>
      <w:pPr>
        <w:pStyle w:val="597"/>
        <w:jc w:val="both"/>
      </w:pPr>
      <w:r/>
      <w:r/>
    </w:p>
    <w:p>
      <w:pPr>
        <w:pStyle w:val="597"/>
        <w:jc w:val="both"/>
      </w:pPr>
      <w:r>
        <w:t xml:space="preserve">1.3 по разделу 0</w:t>
      </w:r>
      <w:r>
        <w:t xml:space="preserve">5</w:t>
      </w:r>
      <w:r>
        <w:t xml:space="preserve">03 </w:t>
      </w:r>
      <w:r>
        <w:t xml:space="preserve">«</w:t>
      </w:r>
      <w:r>
        <w:t xml:space="preserve">Благоустройство</w:t>
      </w:r>
      <w:r>
        <w:t xml:space="preserve">» на 240</w:t>
      </w:r>
      <w:r>
        <w:t xml:space="preserve">,</w:t>
      </w:r>
      <w:r>
        <w:t xml:space="preserve">00</w:t>
      </w:r>
      <w:r>
        <w:t xml:space="preserve"> тыс. рублей, в том числе:</w:t>
      </w:r>
      <w:r/>
    </w:p>
    <w:p>
      <w:pPr>
        <w:pStyle w:val="597"/>
        <w:jc w:val="both"/>
      </w:pPr>
      <w:r>
        <w:t xml:space="preserve">- </w:t>
      </w:r>
      <w:r>
        <w:t xml:space="preserve">на оплату  товаров, работ и услуг для обеспечения госуд</w:t>
      </w:r>
      <w:r>
        <w:t xml:space="preserve">арственных (муниципальных) нужд </w:t>
      </w:r>
      <w:r/>
    </w:p>
    <w:p>
      <w:pPr>
        <w:pStyle w:val="597"/>
        <w:jc w:val="both"/>
      </w:pPr>
      <w:r/>
      <w:r/>
    </w:p>
    <w:p>
      <w:pPr>
        <w:pStyle w:val="597"/>
        <w:jc w:val="both"/>
      </w:pPr>
      <w:r>
        <w:t xml:space="preserve">1.5 по разделу 0409 «Дорожное хозяйство (дорожные фонды)» на 300</w:t>
      </w:r>
      <w:r>
        <w:t xml:space="preserve">,00 тыс. рублей, в том числе:</w:t>
      </w:r>
      <w:r/>
    </w:p>
    <w:p>
      <w:pPr>
        <w:pStyle w:val="597"/>
        <w:jc w:val="both"/>
      </w:pPr>
      <w:r>
        <w:t xml:space="preserve">- на оплату  товаров, работ и услуг для обеспечения государственных (муниципальных) нужд</w:t>
      </w:r>
      <w:r>
        <w:t xml:space="preserve">;</w:t>
      </w:r>
      <w:r/>
    </w:p>
    <w:p>
      <w:pPr>
        <w:pStyle w:val="597"/>
        <w:jc w:val="both"/>
      </w:pPr>
      <w:r/>
      <w:r/>
    </w:p>
    <w:p>
      <w:pPr>
        <w:pStyle w:val="597"/>
        <w:ind w:firstLine="426"/>
        <w:jc w:val="center"/>
        <w:tabs>
          <w:tab w:val="left" w:pos="567" w:leader="none"/>
        </w:tabs>
      </w:pPr>
      <w:r/>
      <w:r/>
    </w:p>
    <w:p>
      <w:pPr>
        <w:pStyle w:val="597"/>
        <w:ind w:firstLine="426"/>
        <w:jc w:val="center"/>
        <w:tabs>
          <w:tab w:val="left" w:pos="567" w:leader="none"/>
        </w:tabs>
      </w:pPr>
      <w:r>
        <w:t xml:space="preserve">Дефицит.</w:t>
      </w:r>
      <w:r/>
    </w:p>
    <w:p>
      <w:pPr>
        <w:pStyle w:val="597"/>
        <w:ind w:firstLine="426"/>
        <w:jc w:val="both"/>
        <w:tabs>
          <w:tab w:val="left" w:pos="567" w:leader="none"/>
        </w:tabs>
      </w:pPr>
      <w:r>
        <w:tab/>
      </w:r>
      <w:r>
        <w:t xml:space="preserve">Изменение параметров бюджета по предлагаемому проекту </w:t>
      </w:r>
      <w:r>
        <w:t xml:space="preserve">повлечет увеличение дефицита бюджета Элисенваарского сельского поселения на 20</w:t>
      </w:r>
      <w:r>
        <w:t xml:space="preserve">21</w:t>
      </w:r>
      <w:r>
        <w:t xml:space="preserve"> год, который составит </w:t>
      </w:r>
      <w:r>
        <w:t xml:space="preserve">1</w:t>
      </w:r>
      <w:r>
        <w:t xml:space="preserve"> </w:t>
      </w:r>
      <w:r>
        <w:t xml:space="preserve">512</w:t>
      </w:r>
      <w:r>
        <w:t xml:space="preserve">,54</w:t>
      </w:r>
      <w:r>
        <w:t xml:space="preserve"> тыс. рублей или </w:t>
      </w:r>
      <w:r>
        <w:t xml:space="preserve">58</w:t>
      </w:r>
      <w:r>
        <w:t xml:space="preserve">,</w:t>
      </w:r>
      <w:r>
        <w:t xml:space="preserve">46</w:t>
      </w:r>
      <w:r>
        <w:t xml:space="preserve">  % от доходов за минусом безвозмездных поступлений</w:t>
      </w:r>
      <w:r>
        <w:t xml:space="preserve">.</w:t>
      </w:r>
      <w:r>
        <w:t xml:space="preserve">        </w:t>
      </w:r>
      <w:r>
        <w:t xml:space="preserve">В соответствии со ст. 96 БК РФ проектом бюджета предлагается источник покрытия дефицита бюджета за счет остатка на счете местного бюджета. Остаток средств по состоянию на 01.01.20</w:t>
      </w:r>
      <w:r>
        <w:t xml:space="preserve">21</w:t>
      </w:r>
      <w:r>
        <w:t xml:space="preserve"> года составляет 1 865,</w:t>
      </w:r>
      <w:r>
        <w:t xml:space="preserve">47</w:t>
      </w:r>
      <w:r>
        <w:t xml:space="preserve"> тыс. рублей.</w:t>
      </w:r>
      <w:r/>
    </w:p>
    <w:p>
      <w:pPr>
        <w:pStyle w:val="597"/>
        <w:ind w:firstLine="426"/>
        <w:jc w:val="both"/>
        <w:tabs>
          <w:tab w:val="left" w:pos="567" w:leader="none"/>
        </w:tabs>
      </w:pPr>
      <w:r/>
      <w:r/>
    </w:p>
    <w:p>
      <w:pPr>
        <w:pStyle w:val="604"/>
        <w:jc w:val="both"/>
        <w:spacing w:lineRule="auto" w:line="360"/>
        <w:tabs>
          <w:tab w:val="left" w:pos="0" w:leader="none"/>
        </w:tabs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Заемные источники финанси</w:t>
      </w:r>
      <w:r>
        <w:rPr>
          <w:rFonts w:ascii="Times New Roman" w:hAnsi="Times New Roman"/>
          <w:sz w:val="24"/>
          <w:szCs w:val="24"/>
        </w:rPr>
        <w:t xml:space="preserve">рования дефицита бюджета на 20</w:t>
      </w:r>
      <w:r>
        <w:rPr>
          <w:rFonts w:ascii="Times New Roman" w:hAnsi="Times New Roman"/>
          <w:sz w:val="24"/>
          <w:szCs w:val="24"/>
        </w:rPr>
        <w:t xml:space="preserve">20</w:t>
      </w:r>
      <w:r>
        <w:rPr>
          <w:rFonts w:ascii="Times New Roman" w:hAnsi="Times New Roman"/>
          <w:sz w:val="24"/>
          <w:szCs w:val="24"/>
        </w:rPr>
        <w:t xml:space="preserve"> год не предусмотрены.</w:t>
      </w:r>
      <w:r>
        <w:rPr>
          <w:rFonts w:ascii="Times New Roman" w:hAnsi="Times New Roman"/>
          <w:sz w:val="24"/>
          <w:szCs w:val="24"/>
          <w:highlight w:val="yellow"/>
        </w:rPr>
      </w:r>
      <w:r/>
    </w:p>
    <w:p>
      <w:pPr>
        <w:pStyle w:val="597"/>
        <w:jc w:val="both"/>
        <w:spacing w:lineRule="auto" w:line="360"/>
      </w:pPr>
      <w:r>
        <w:t xml:space="preserve">Предложенный проект обеспечивает соблюдение параметров, определенны</w:t>
      </w:r>
      <w:r>
        <w:t xml:space="preserve">х</w:t>
      </w:r>
      <w:r>
        <w:t xml:space="preserve"> Бюджетным Кодексом Российской Федерации. </w:t>
      </w:r>
      <w:r/>
    </w:p>
    <w:p>
      <w:pPr>
        <w:pStyle w:val="597"/>
        <w:jc w:val="both"/>
        <w:spacing w:lineRule="auto" w:line="360"/>
      </w:pPr>
      <w:r>
        <w:t xml:space="preserve">Проект решения не сод</w:t>
      </w:r>
      <w:r>
        <w:t xml:space="preserve">ержит коррупциогенных факторов.</w:t>
      </w:r>
      <w:r/>
    </w:p>
    <w:p>
      <w:pPr>
        <w:pStyle w:val="597"/>
        <w:ind w:firstLine="708"/>
        <w:jc w:val="both"/>
      </w:pPr>
      <w:r/>
      <w:r/>
    </w:p>
    <w:p>
      <w:pPr>
        <w:pStyle w:val="597"/>
        <w:ind w:firstLine="708"/>
        <w:jc w:val="both"/>
      </w:pPr>
      <w:r/>
      <w:r/>
    </w:p>
    <w:p>
      <w:pPr>
        <w:pStyle w:val="597"/>
        <w:ind w:firstLine="708"/>
        <w:jc w:val="both"/>
      </w:pPr>
      <w:r/>
      <w:r/>
    </w:p>
    <w:p>
      <w:pPr>
        <w:pStyle w:val="597"/>
        <w:ind w:firstLine="708"/>
        <w:jc w:val="both"/>
      </w:pPr>
      <w:r/>
      <w:r/>
    </w:p>
    <w:p>
      <w:pPr>
        <w:pStyle w:val="597"/>
        <w:jc w:val="both"/>
      </w:pPr>
      <w:r>
        <w:t xml:space="preserve">Главный специалист</w:t>
      </w:r>
      <w:r>
        <w:t xml:space="preserve">: </w:t>
      </w:r>
      <w:r>
        <w:tab/>
        <w:tab/>
        <w:tab/>
        <w:tab/>
      </w:r>
      <w:r>
        <w:t xml:space="preserve">       </w:t>
      </w:r>
      <w:r>
        <w:t xml:space="preserve">                               В.О</w:t>
      </w:r>
      <w:r>
        <w:t xml:space="preserve">. </w:t>
      </w:r>
      <w:r>
        <w:t xml:space="preserve">Овчарова</w:t>
      </w:r>
      <w:r/>
    </w:p>
    <w:p>
      <w:pPr>
        <w:pStyle w:val="597"/>
        <w:jc w:val="both"/>
        <w:sectPr>
          <w:footnotePr/>
          <w:type w:val="nextPage"/>
          <w:pgSz w:w="11906" w:h="16838" w:orient="portrait"/>
          <w:pgMar w:top="709" w:right="1133" w:bottom="1134" w:left="1418" w:header="708" w:footer="708"/>
          <w:cols w:num="1" w:sep="0" w:space="708" w:equalWidth="1"/>
          <w:docGrid w:linePitch="360"/>
        </w:sectPr>
      </w:pPr>
      <w:r/>
      <w:r/>
    </w:p>
    <w:tbl>
      <w:tblPr>
        <w:tblW w:w="4977" w:type="pct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0"/>
        <w:gridCol w:w="1767"/>
        <w:gridCol w:w="1418"/>
        <w:gridCol w:w="530"/>
        <w:gridCol w:w="3012"/>
        <w:gridCol w:w="1275"/>
        <w:gridCol w:w="1418"/>
      </w:tblGrid>
      <w:tr>
        <w:trPr>
          <w:trHeight w:val="942"/>
        </w:trPr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597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893" w:type="pct"/>
            <w:vAlign w:val="bottom"/>
            <w:textDirection w:val="lrTb"/>
            <w:noWrap/>
          </w:tcPr>
          <w:p>
            <w:pPr>
              <w:pStyle w:val="597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710" w:type="pct"/>
            <w:vAlign w:val="center"/>
            <w:textDirection w:val="lrTb"/>
            <w:noWrap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518" w:type="pct"/>
            <w:vAlign w:val="bottom"/>
            <w:textDirection w:val="lrTb"/>
            <w:noWrap/>
          </w:tcPr>
          <w:p>
            <w:pPr>
              <w:pStyle w:val="597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gridSpan w:val="2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348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Приложение №</w:t>
            </w:r>
            <w:r>
              <w:rPr>
                <w:color w:val="000000"/>
                <w:sz w:val="20"/>
                <w:szCs w:val="20"/>
              </w:rPr>
              <w:t xml:space="preserve">2</w:t>
            </w:r>
            <w:r>
              <w:rPr>
                <w:color w:val="000000"/>
                <w:sz w:val="20"/>
                <w:szCs w:val="20"/>
              </w:rPr>
              <w:t xml:space="preserve"> к пояснительной записке от       </w:t>
            </w:r>
            <w:r>
              <w:rPr>
                <w:color w:val="000000"/>
                <w:sz w:val="20"/>
                <w:szCs w:val="20"/>
              </w:rPr>
              <w:t xml:space="preserve">15</w:t>
            </w:r>
            <w:r>
              <w:rPr>
                <w:color w:val="000000"/>
                <w:sz w:val="20"/>
                <w:szCs w:val="20"/>
              </w:rPr>
              <w:t xml:space="preserve">.03</w:t>
            </w:r>
            <w:r>
              <w:rPr>
                <w:color w:val="000000"/>
                <w:sz w:val="20"/>
                <w:szCs w:val="20"/>
              </w:rPr>
              <w:t xml:space="preserve">.20</w:t>
            </w:r>
            <w:r>
              <w:rPr>
                <w:color w:val="000000"/>
                <w:sz w:val="20"/>
                <w:szCs w:val="20"/>
              </w:rPr>
              <w:t xml:space="preserve">21</w:t>
            </w:r>
            <w:r>
              <w:rPr>
                <w:color w:val="000000"/>
                <w:sz w:val="20"/>
                <w:szCs w:val="20"/>
              </w:rPr>
              <w:t xml:space="preserve"> года. </w:t>
            </w:r>
            <w:r/>
          </w:p>
        </w:tc>
      </w:tr>
      <w:tr>
        <w:trPr>
          <w:trHeight w:val="403"/>
        </w:trPr>
        <w:tc>
          <w:tcPr>
            <w:gridSpan w:val="7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000" w:type="pct"/>
            <w:vAlign w:val="bottom"/>
            <w:textDirection w:val="lrTb"/>
            <w:noWrap/>
          </w:tcPr>
          <w:p>
            <w:pPr>
              <w:pStyle w:val="59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БАЛАНС ОТКЛОНЕНИЙ </w:t>
            </w:r>
            <w:r/>
          </w:p>
        </w:tc>
      </w:tr>
      <w:tr>
        <w:trPr>
          <w:trHeight w:val="942"/>
        </w:trPr>
        <w:tc>
          <w:tcPr>
            <w:gridSpan w:val="7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000" w:type="pct"/>
            <w:vAlign w:val="top"/>
            <w:textDirection w:val="lrTb"/>
            <w:noWrap w:val="false"/>
          </w:tcPr>
          <w:p>
            <w:pPr>
              <w:pStyle w:val="59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 решению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ХХI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I</w:t>
            </w:r>
            <w:r>
              <w:rPr>
                <w:b/>
                <w:bCs/>
                <w:color w:val="000000"/>
                <w:lang w:val="en-US"/>
              </w:rPr>
              <w:t xml:space="preserve">I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сессии </w:t>
            </w:r>
            <w:r>
              <w:rPr>
                <w:b/>
                <w:bCs/>
                <w:color w:val="000000"/>
                <w:lang w:val="en-US"/>
              </w:rPr>
              <w:t xml:space="preserve">IV</w:t>
            </w:r>
            <w:r>
              <w:rPr>
                <w:b/>
                <w:bCs/>
                <w:color w:val="000000"/>
              </w:rPr>
              <w:t xml:space="preserve"> созыва Совета </w:t>
            </w:r>
            <w:r>
              <w:rPr>
                <w:b/>
                <w:bCs/>
                <w:color w:val="000000"/>
              </w:rPr>
              <w:t xml:space="preserve">Элисенваарского</w:t>
            </w:r>
            <w:r>
              <w:rPr>
                <w:b/>
                <w:bCs/>
                <w:color w:val="000000"/>
              </w:rPr>
              <w:t xml:space="preserve"> сельского поселения "О внесении из</w:t>
            </w:r>
            <w:r>
              <w:rPr>
                <w:b/>
                <w:bCs/>
                <w:color w:val="000000"/>
              </w:rPr>
              <w:t xml:space="preserve">менений и дополнений в решение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ХХII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сессии </w:t>
            </w:r>
            <w:r>
              <w:rPr>
                <w:b/>
                <w:bCs/>
                <w:color w:val="000000"/>
                <w:lang w:val="en-US"/>
              </w:rPr>
              <w:t xml:space="preserve">IV</w:t>
            </w:r>
            <w:r>
              <w:rPr>
                <w:b/>
                <w:bCs/>
                <w:color w:val="000000"/>
              </w:rPr>
              <w:t xml:space="preserve"> созыва Совета </w:t>
            </w:r>
            <w:r>
              <w:rPr>
                <w:b/>
                <w:bCs/>
                <w:color w:val="000000"/>
              </w:rPr>
              <w:t xml:space="preserve">Элисенваарского</w:t>
            </w:r>
            <w:r>
              <w:rPr>
                <w:b/>
                <w:bCs/>
                <w:color w:val="000000"/>
              </w:rPr>
              <w:t xml:space="preserve"> сельского поселения "О бюджете </w:t>
            </w:r>
            <w:r>
              <w:rPr>
                <w:b/>
                <w:bCs/>
                <w:color w:val="000000"/>
              </w:rPr>
              <w:t xml:space="preserve">Элисенваар</w:t>
            </w:r>
            <w:r>
              <w:rPr>
                <w:b/>
                <w:bCs/>
                <w:color w:val="000000"/>
              </w:rPr>
              <w:t xml:space="preserve">ского сельского поселения на 20</w:t>
            </w:r>
            <w:r>
              <w:rPr>
                <w:b/>
                <w:bCs/>
                <w:color w:val="000000"/>
              </w:rPr>
              <w:t xml:space="preserve">21</w:t>
            </w:r>
            <w:r>
              <w:rPr>
                <w:b/>
                <w:bCs/>
                <w:color w:val="000000"/>
              </w:rPr>
              <w:t xml:space="preserve"> год"</w:t>
            </w:r>
            <w:r>
              <w:rPr>
                <w:b/>
                <w:bCs/>
                <w:color w:val="000000"/>
              </w:rPr>
              <w:t xml:space="preserve"> от 22.12.2020</w:t>
            </w:r>
            <w:r>
              <w:rPr>
                <w:b/>
                <w:bCs/>
                <w:color w:val="000000"/>
              </w:rPr>
              <w:t xml:space="preserve"> г. № </w:t>
            </w:r>
            <w:r>
              <w:rPr>
                <w:b/>
                <w:bCs/>
                <w:color w:val="000000"/>
              </w:rPr>
              <w:t xml:space="preserve">22</w:t>
            </w:r>
            <w:r>
              <w:rPr>
                <w:b/>
                <w:bCs/>
                <w:color w:val="000000"/>
              </w:rPr>
              <w:t xml:space="preserve">/</w:t>
            </w:r>
            <w:r>
              <w:rPr>
                <w:b/>
                <w:bCs/>
                <w:color w:val="000000"/>
              </w:rPr>
              <w:t xml:space="preserve">73</w:t>
            </w:r>
            <w:r>
              <w:rPr>
                <w:b/>
                <w:bCs/>
                <w:color w:val="000000"/>
              </w:rPr>
              <w:t xml:space="preserve">-4</w:t>
            </w:r>
            <w:r>
              <w:rPr>
                <w:b/>
                <w:bCs/>
                <w:color w:val="000000"/>
              </w:rPr>
              <w:t xml:space="preserve"> .</w:t>
            </w:r>
            <w:r/>
          </w:p>
        </w:tc>
      </w:tr>
      <w:tr>
        <w:trPr>
          <w:trHeight w:val="316"/>
        </w:trPr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597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893" w:type="pct"/>
            <w:vAlign w:val="bottom"/>
            <w:textDirection w:val="lrTb"/>
            <w:noWrap/>
          </w:tcPr>
          <w:p>
            <w:pPr>
              <w:pStyle w:val="59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710" w:type="pct"/>
            <w:vAlign w:val="center"/>
            <w:textDirection w:val="lrTb"/>
            <w:noWrap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518" w:type="pct"/>
            <w:vAlign w:val="bottom"/>
            <w:textDirection w:val="lrTb"/>
            <w:noWrap/>
          </w:tcPr>
          <w:p>
            <w:pPr>
              <w:pStyle w:val="597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638" w:type="pct"/>
            <w:vAlign w:val="bottom"/>
            <w:textDirection w:val="lrTb"/>
            <w:noWrap/>
          </w:tcPr>
          <w:p>
            <w:pPr>
              <w:pStyle w:val="597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710" w:type="pct"/>
            <w:vAlign w:val="center"/>
            <w:textDirection w:val="lrTb"/>
            <w:noWrap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тыс.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руб.</w:t>
            </w:r>
            <w:r/>
          </w:p>
        </w:tc>
      </w:tr>
      <w:tr>
        <w:trPr>
          <w:trHeight w:val="335"/>
        </w:trPr>
        <w:tc>
          <w:tcPr>
            <w:tcBorders>
              <w:left w:val="single" w:color="000000" w:sz="8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597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gridSpan w:val="2"/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1603" w:type="pct"/>
            <w:vAlign w:val="top"/>
            <w:textDirection w:val="lrTb"/>
            <w:noWrap w:val="false"/>
          </w:tcPr>
          <w:p>
            <w:pPr>
              <w:pStyle w:val="59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ДОХОДЫ</w:t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/>
          </w:p>
        </w:tc>
        <w:tc>
          <w:tcPr>
            <w:gridSpan w:val="3"/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2866" w:type="pct"/>
            <w:vAlign w:val="top"/>
            <w:textDirection w:val="lrTb"/>
            <w:noWrap w:val="false"/>
          </w:tcPr>
          <w:p>
            <w:pPr>
              <w:pStyle w:val="59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РАСХОДЫ</w:t>
            </w:r>
            <w:r/>
          </w:p>
        </w:tc>
      </w:tr>
      <w:tr>
        <w:trPr>
          <w:trHeight w:val="618"/>
        </w:trPr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265" w:type="pct"/>
            <w:vAlign w:val="bottom"/>
            <w:textDirection w:val="lrTb"/>
            <w:noWrap w:val="false"/>
          </w:tcPr>
          <w:p>
            <w:pPr>
              <w:pStyle w:val="597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№ п/п</w:t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893" w:type="pct"/>
            <w:vAlign w:val="top"/>
            <w:textDirection w:val="lrTb"/>
            <w:noWrap w:val="false"/>
          </w:tcPr>
          <w:p>
            <w:pPr>
              <w:pStyle w:val="597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источника</w:t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710" w:type="pct"/>
            <w:vAlign w:val="top"/>
            <w:textDirection w:val="lrTb"/>
            <w:noWrap w:val="false"/>
          </w:tcPr>
          <w:p>
            <w:pPr>
              <w:pStyle w:val="597"/>
              <w:rPr>
                <w:color w:val="000000"/>
              </w:rPr>
            </w:pPr>
            <w:r>
              <w:rPr>
                <w:color w:val="000000"/>
              </w:rPr>
              <w:t xml:space="preserve">Сумма отклонений</w:t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265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№ п/п</w:t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none" w:color="FFFFFF" w:sz="255" w:space="0"/>
              <w:bottom w:val="single" w:color="000000" w:sz="8" w:space="0"/>
            </w:tcBorders>
            <w:tcW w:w="1518" w:type="pct"/>
            <w:vAlign w:val="top"/>
            <w:textDirection w:val="lrTb"/>
            <w:noWrap w:val="false"/>
          </w:tcPr>
          <w:p>
            <w:pPr>
              <w:pStyle w:val="597"/>
              <w:rPr>
                <w:color w:val="000000"/>
              </w:rPr>
            </w:pPr>
            <w:r>
              <w:rPr>
                <w:color w:val="000000"/>
              </w:rPr>
              <w:t xml:space="preserve">Направление расхода</w:t>
            </w:r>
            <w:r/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638" w:type="pct"/>
            <w:vAlign w:val="top"/>
            <w:textDirection w:val="lrTb"/>
            <w:noWrap w:val="false"/>
          </w:tcPr>
          <w:p>
            <w:pPr>
              <w:pStyle w:val="597"/>
              <w:rPr>
                <w:color w:val="000000"/>
              </w:rPr>
            </w:pPr>
            <w:r>
              <w:rPr>
                <w:color w:val="000000"/>
              </w:rPr>
              <w:t xml:space="preserve">основание</w:t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710" w:type="pct"/>
            <w:vAlign w:val="center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Сумма отклонений</w:t>
            </w:r>
            <w:r/>
          </w:p>
        </w:tc>
      </w:tr>
      <w:tr>
        <w:trPr>
          <w:trHeight w:val="774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1.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893" w:type="pct"/>
            <w:vAlign w:val="bottom"/>
            <w:textDirection w:val="lrTb"/>
            <w:noWrap w:val="false"/>
          </w:tcPr>
          <w:p>
            <w:pPr>
              <w:pStyle w:val="59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Налоговые поступления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42</w:t>
            </w:r>
            <w:r>
              <w:rPr>
                <w:color w:val="000000"/>
                <w:sz w:val="20"/>
                <w:szCs w:val="20"/>
              </w:rPr>
              <w:t xml:space="preserve">,</w:t>
            </w:r>
            <w:r>
              <w:rPr>
                <w:color w:val="000000"/>
                <w:sz w:val="20"/>
                <w:szCs w:val="20"/>
              </w:rPr>
              <w:t xml:space="preserve">00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265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518" w:type="pct"/>
            <w:vAlign w:val="top"/>
            <w:textDirection w:val="lrTb"/>
            <w:noWrap w:val="false"/>
          </w:tcPr>
          <w:p>
            <w:pPr>
              <w:pStyle w:val="59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Обеспечение принятых обязательств</w:t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638" w:type="pct"/>
            <w:vAlign w:val="bottom"/>
            <w:textDirection w:val="lrTb"/>
            <w:noWrap w:val="false"/>
          </w:tcPr>
          <w:p>
            <w:pPr>
              <w:pStyle w:val="59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Расчет ГРБС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710" w:type="pct"/>
            <w:vAlign w:val="center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0,00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694"/>
        </w:trPr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597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2.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4" w:space="0"/>
            </w:tcBorders>
            <w:tcW w:w="893" w:type="pct"/>
            <w:vAlign w:val="bottom"/>
            <w:textDirection w:val="lrTb"/>
            <w:noWrap w:val="false"/>
          </w:tcPr>
          <w:p>
            <w:pPr>
              <w:pStyle w:val="59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Неналоговые поступления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136,00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none" w:color="FFFFFF" w:sz="255" w:space="0"/>
              <w:bottom w:val="single" w:color="000000" w:sz="4" w:space="0"/>
            </w:tcBorders>
            <w:tcW w:w="1518" w:type="pct"/>
            <w:vAlign w:val="center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 на оплату  товаров, работ и услуг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4" w:space="0"/>
            </w:tcBorders>
            <w:tcW w:w="638" w:type="pct"/>
            <w:vAlign w:val="center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0104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710" w:type="pct"/>
            <w:vAlign w:val="center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420,00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694"/>
        </w:trPr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597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none" w:color="FFFFFF" w:sz="255" w:space="0"/>
            </w:tcBorders>
            <w:tcW w:w="893" w:type="pct"/>
            <w:vAlign w:val="bottom"/>
            <w:textDirection w:val="lrTb"/>
            <w:noWrap w:val="false"/>
          </w:tcPr>
          <w:p>
            <w:pPr>
              <w:pStyle w:val="59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none" w:color="FFFFFF" w:sz="255" w:space="0"/>
              <w:bottom w:val="single" w:color="000000" w:sz="4" w:space="0"/>
            </w:tcBorders>
            <w:tcW w:w="1518" w:type="pct"/>
            <w:vAlign w:val="center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 на оплату  товаров, работ и услуг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4" w:space="0"/>
            </w:tcBorders>
            <w:tcW w:w="638" w:type="pct"/>
            <w:vAlign w:val="center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0801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710" w:type="pct"/>
            <w:vAlign w:val="center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200</w:t>
            </w:r>
            <w:r>
              <w:rPr>
                <w:color w:val="000000"/>
                <w:sz w:val="20"/>
                <w:szCs w:val="20"/>
              </w:rPr>
              <w:t xml:space="preserve">,0</w:t>
            </w:r>
            <w:r>
              <w:rPr>
                <w:color w:val="000000"/>
                <w:sz w:val="20"/>
                <w:szCs w:val="20"/>
              </w:rPr>
              <w:t xml:space="preserve">0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681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893" w:type="pct"/>
            <w:vAlign w:val="bottom"/>
            <w:textDirection w:val="lrTb"/>
            <w:noWrap w:val="false"/>
          </w:tcPr>
          <w:p>
            <w:pPr>
              <w:pStyle w:val="597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Всего собственных доходов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1518" w:type="pct"/>
            <w:vAlign w:val="top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 на оплату  товаров, работ и услуг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638" w:type="pct"/>
            <w:vAlign w:val="center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0409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710" w:type="pct"/>
            <w:vAlign w:val="center"/>
            <w:textDirection w:val="lrTb"/>
            <w:noWrap/>
          </w:tcPr>
          <w:p>
            <w:pPr>
              <w:pStyle w:val="59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300</w:t>
            </w:r>
            <w:r>
              <w:rPr>
                <w:color w:val="000000"/>
                <w:sz w:val="22"/>
                <w:szCs w:val="22"/>
              </w:rPr>
              <w:t xml:space="preserve">,</w:t>
            </w: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</w:r>
            <w:r/>
          </w:p>
        </w:tc>
      </w:tr>
      <w:tr>
        <w:trPr>
          <w:trHeight w:val="539"/>
        </w:trPr>
        <w:tc>
          <w:tcPr>
            <w:tcBorders>
              <w:left w:val="single" w:color="000000" w:sz="8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3.</w:t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893" w:type="pct"/>
            <w:vAlign w:val="bottom"/>
            <w:textDirection w:val="lrTb"/>
            <w:noWrap w:val="false"/>
          </w:tcPr>
          <w:p>
            <w:pPr>
              <w:pStyle w:val="59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Безвозмездные </w:t>
            </w:r>
            <w:r>
              <w:rPr>
                <w:color w:val="000000"/>
                <w:sz w:val="20"/>
                <w:szCs w:val="20"/>
              </w:rPr>
              <w:t xml:space="preserve">поступления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1518" w:type="pct"/>
            <w:vAlign w:val="top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 на оплату  товаров, работ и услуг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638" w:type="pct"/>
            <w:vAlign w:val="center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0503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710" w:type="pct"/>
            <w:vAlign w:val="center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240</w:t>
            </w:r>
            <w:r>
              <w:rPr>
                <w:color w:val="000000"/>
                <w:sz w:val="22"/>
                <w:szCs w:val="22"/>
              </w:rPr>
              <w:t xml:space="preserve">,</w:t>
            </w: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  <w:t xml:space="preserve">0</w:t>
            </w:r>
            <w:r>
              <w:rPr>
                <w:color w:val="000000"/>
                <w:sz w:val="22"/>
                <w:szCs w:val="22"/>
              </w:rPr>
            </w:r>
            <w:r/>
          </w:p>
        </w:tc>
      </w:tr>
      <w:tr>
        <w:trPr>
          <w:trHeight w:val="539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3.1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893" w:type="pct"/>
            <w:vAlign w:val="bottom"/>
            <w:textDirection w:val="lrTb"/>
            <w:noWrap w:val="false"/>
          </w:tcPr>
          <w:p>
            <w:pPr>
              <w:pStyle w:val="59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Дотация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1518" w:type="pct"/>
            <w:vAlign w:val="top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638" w:type="pct"/>
            <w:vAlign w:val="center"/>
            <w:textDirection w:val="lrTb"/>
            <w:noWrap/>
          </w:tcPr>
          <w:p>
            <w:pPr>
              <w:pStyle w:val="59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710" w:type="pct"/>
            <w:vAlign w:val="center"/>
            <w:textDirection w:val="lrTb"/>
            <w:noWrap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</w:tr>
      <w:tr>
        <w:trPr>
          <w:trHeight w:val="516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3.2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893" w:type="pct"/>
            <w:vAlign w:val="bottom"/>
            <w:textDirection w:val="lrTb"/>
            <w:noWrap w:val="false"/>
          </w:tcPr>
          <w:p>
            <w:pPr>
              <w:pStyle w:val="59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Субсидии, субвенции</w:t>
            </w:r>
            <w:r/>
          </w:p>
        </w:tc>
        <w:tc>
          <w:tcPr>
            <w:shd w:val="clear" w:color="auto" w:fill="FFFFFF"/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0,00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1518" w:type="pct"/>
            <w:vAlign w:val="top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638" w:type="pct"/>
            <w:vAlign w:val="center"/>
            <w:textDirection w:val="lrTb"/>
            <w:noWrap/>
          </w:tcPr>
          <w:p>
            <w:pPr>
              <w:pStyle w:val="59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710" w:type="pct"/>
            <w:vAlign w:val="center"/>
            <w:textDirection w:val="lrTb"/>
            <w:noWrap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</w:tr>
      <w:tr>
        <w:trPr>
          <w:trHeight w:val="503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3.3</w:t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893" w:type="pct"/>
            <w:vAlign w:val="bottom"/>
            <w:textDirection w:val="lrTb"/>
            <w:noWrap w:val="false"/>
          </w:tcPr>
          <w:p>
            <w:pPr>
              <w:pStyle w:val="59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Межбюджетные  трансферты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0,00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1518" w:type="pct"/>
            <w:vAlign w:val="top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638" w:type="pct"/>
            <w:vAlign w:val="center"/>
            <w:textDirection w:val="lrTb"/>
            <w:noWrap/>
          </w:tcPr>
          <w:p>
            <w:pPr>
              <w:pStyle w:val="59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710" w:type="pct"/>
            <w:vAlign w:val="center"/>
            <w:textDirection w:val="lrTb"/>
            <w:noWrap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</w:tr>
      <w:tr>
        <w:trPr>
          <w:trHeight w:val="560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3.4</w:t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893" w:type="pct"/>
            <w:vAlign w:val="bottom"/>
            <w:textDirection w:val="lrTb"/>
            <w:noWrap w:val="false"/>
          </w:tcPr>
          <w:p>
            <w:pPr>
              <w:pStyle w:val="59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Иные </w:t>
            </w:r>
            <w:r>
              <w:rPr>
                <w:color w:val="000000"/>
                <w:sz w:val="20"/>
                <w:szCs w:val="20"/>
              </w:rPr>
              <w:t xml:space="preserve">поступления</w:t>
            </w: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,00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1518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638" w:type="pct"/>
            <w:vAlign w:val="center"/>
            <w:textDirection w:val="lrTb"/>
            <w:noWrap/>
          </w:tcPr>
          <w:p>
            <w:pPr>
              <w:pStyle w:val="59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710" w:type="pct"/>
            <w:vAlign w:val="center"/>
            <w:textDirection w:val="lrTb"/>
            <w:noWrap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</w:tr>
      <w:tr>
        <w:trPr>
          <w:trHeight w:val="560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893" w:type="pct"/>
            <w:vAlign w:val="bottom"/>
            <w:textDirection w:val="lrTb"/>
            <w:noWrap w:val="false"/>
          </w:tcPr>
          <w:p>
            <w:pPr>
              <w:pStyle w:val="59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1518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638" w:type="pct"/>
            <w:vAlign w:val="center"/>
            <w:textDirection w:val="lrTb"/>
            <w:noWrap/>
          </w:tcPr>
          <w:p>
            <w:pPr>
              <w:pStyle w:val="59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710" w:type="pct"/>
            <w:vAlign w:val="center"/>
            <w:textDirection w:val="lrTb"/>
            <w:noWrap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</w:tr>
      <w:tr>
        <w:trPr>
          <w:cantSplit/>
          <w:trHeight w:val="302"/>
        </w:trPr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597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893" w:type="pct"/>
            <w:vAlign w:val="bottom"/>
            <w:textDirection w:val="lrTb"/>
            <w:noWrap w:val="false"/>
          </w:tcPr>
          <w:p>
            <w:pPr>
              <w:pStyle w:val="597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518" w:type="pct"/>
            <w:vAlign w:val="bottom"/>
            <w:textDirection w:val="lrTb"/>
            <w:noWrap w:val="false"/>
          </w:tcPr>
          <w:p>
            <w:pPr>
              <w:pStyle w:val="597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638" w:type="pct"/>
            <w:vAlign w:val="bottom"/>
            <w:vMerge w:val="restart"/>
            <w:textDirection w:val="lrTb"/>
            <w:noWrap w:val="false"/>
          </w:tcPr>
          <w:p>
            <w:pPr>
              <w:pStyle w:val="597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710" w:type="pct"/>
            <w:vAlign w:val="center"/>
            <w:textDirection w:val="lrTb"/>
            <w:noWrap w:val="false"/>
          </w:tcPr>
          <w:p>
            <w:pPr>
              <w:pStyle w:val="59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 </w:t>
            </w:r>
            <w:r/>
          </w:p>
        </w:tc>
      </w:tr>
      <w:tr>
        <w:trPr>
          <w:cantSplit/>
          <w:trHeight w:val="269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597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893" w:type="pct"/>
            <w:vAlign w:val="bottom"/>
            <w:textDirection w:val="lrTb"/>
            <w:noWrap w:val="false"/>
          </w:tcPr>
          <w:p>
            <w:pPr>
              <w:pStyle w:val="597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 ДОХОДОВ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178</w:t>
            </w:r>
            <w:r>
              <w:rPr>
                <w:b/>
                <w:bCs/>
                <w:color w:val="000000"/>
              </w:rPr>
              <w:t xml:space="preserve">,</w:t>
            </w:r>
            <w:r>
              <w:rPr>
                <w:b/>
                <w:bCs/>
                <w:color w:val="000000"/>
              </w:rPr>
              <w:t xml:space="preserve">00</w:t>
            </w:r>
            <w:r>
              <w:rPr>
                <w:b/>
                <w:bCs/>
                <w:color w:val="00000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518" w:type="pct"/>
            <w:vAlign w:val="bottom"/>
            <w:textDirection w:val="lrTb"/>
            <w:noWrap w:val="false"/>
          </w:tcPr>
          <w:p>
            <w:pPr>
              <w:pStyle w:val="597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 РАСХОДОВ</w:t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638" w:type="pct"/>
            <w:vAlign w:val="center"/>
            <w:vMerge w:val="continue"/>
            <w:textDirection w:val="lrTb"/>
            <w:noWrap w:val="false"/>
          </w:tcPr>
          <w:p>
            <w:pPr>
              <w:pStyle w:val="597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710" w:type="pct"/>
            <w:vAlign w:val="center"/>
            <w:textDirection w:val="lrTb"/>
            <w:noWrap w:val="false"/>
          </w:tcPr>
          <w:p>
            <w:pPr>
              <w:pStyle w:val="59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1160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,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00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  <w:r/>
          </w:p>
        </w:tc>
      </w:tr>
      <w:tr>
        <w:trPr>
          <w:cantSplit/>
          <w:trHeight w:val="302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597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893" w:type="pct"/>
            <w:vAlign w:val="bottom"/>
            <w:textDirection w:val="lrTb"/>
            <w:noWrap w:val="false"/>
          </w:tcPr>
          <w:p>
            <w:pPr>
              <w:pStyle w:val="597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518" w:type="pct"/>
            <w:vAlign w:val="bottom"/>
            <w:textDirection w:val="lrTb"/>
            <w:noWrap w:val="false"/>
          </w:tcPr>
          <w:p>
            <w:pPr>
              <w:pStyle w:val="597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638" w:type="pct"/>
            <w:vAlign w:val="center"/>
            <w:vMerge w:val="continue"/>
            <w:textDirection w:val="lrTb"/>
            <w:noWrap w:val="false"/>
          </w:tcPr>
          <w:p>
            <w:pPr>
              <w:pStyle w:val="597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710" w:type="pct"/>
            <w:vAlign w:val="center"/>
            <w:textDirection w:val="lrTb"/>
            <w:noWrap w:val="false"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</w:tr>
      <w:tr>
        <w:trPr>
          <w:cantSplit/>
          <w:trHeight w:val="46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597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893" w:type="pct"/>
            <w:vAlign w:val="bottom"/>
            <w:textDirection w:val="lrTb"/>
            <w:noWrap w:val="false"/>
          </w:tcPr>
          <w:p>
            <w:pPr>
              <w:pStyle w:val="597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710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265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1518" w:type="pct"/>
            <w:vAlign w:val="bottom"/>
            <w:textDirection w:val="lrTb"/>
            <w:noWrap w:val="false"/>
          </w:tcPr>
          <w:p>
            <w:pPr>
              <w:pStyle w:val="597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638" w:type="pct"/>
            <w:vAlign w:val="center"/>
            <w:vMerge w:val="continue"/>
            <w:textDirection w:val="lrTb"/>
            <w:noWrap w:val="false"/>
          </w:tcPr>
          <w:p>
            <w:pPr>
              <w:pStyle w:val="597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710" w:type="pct"/>
            <w:vAlign w:val="center"/>
            <w:textDirection w:val="lrTb"/>
            <w:noWrap w:val="false"/>
          </w:tcPr>
          <w:p>
            <w:pPr>
              <w:pStyle w:val="597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</w:tr>
      <w:tr>
        <w:trPr>
          <w:trHeight w:val="316"/>
        </w:trPr>
        <w:tc>
          <w:tcPr>
            <w:tcBorders>
              <w:left w:val="single" w:color="000000" w:sz="8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597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gridSpan w:val="2"/>
            <w:tcBorders>
              <w:left w:val="none" w:color="FFFFFF" w:sz="255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1603" w:type="pct"/>
            <w:vAlign w:val="bottom"/>
            <w:textDirection w:val="lrTb"/>
            <w:noWrap w:val="false"/>
          </w:tcPr>
          <w:p>
            <w:pPr>
              <w:pStyle w:val="597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/>
          </w:p>
        </w:tc>
        <w:tc>
          <w:tcPr>
            <w:gridSpan w:val="2"/>
            <w:tcBorders>
              <w:left w:val="none" w:color="FFFFFF" w:sz="255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1783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638" w:type="pct"/>
            <w:vAlign w:val="bottom"/>
            <w:textDirection w:val="lrTb"/>
            <w:noWrap w:val="false"/>
          </w:tcPr>
          <w:p>
            <w:pPr>
              <w:pStyle w:val="59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710" w:type="pct"/>
            <w:vAlign w:val="center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/>
          </w:p>
        </w:tc>
      </w:tr>
      <w:tr>
        <w:trPr>
          <w:trHeight w:val="65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265" w:type="pct"/>
            <w:vAlign w:val="bottom"/>
            <w:textDirection w:val="lrTb"/>
            <w:noWrap/>
          </w:tcPr>
          <w:p>
            <w:pPr>
              <w:pStyle w:val="597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gridSpan w:val="2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1603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Дефицит по бюджету 20</w:t>
            </w:r>
            <w:r>
              <w:rPr>
                <w:b/>
                <w:bCs/>
                <w:color w:val="000000"/>
              </w:rPr>
              <w:t xml:space="preserve">21</w:t>
            </w:r>
            <w:r>
              <w:rPr>
                <w:b/>
                <w:bCs/>
                <w:color w:val="000000"/>
              </w:rPr>
              <w:t xml:space="preserve">г.</w:t>
            </w:r>
            <w:r/>
          </w:p>
        </w:tc>
        <w:tc>
          <w:tcPr>
            <w:gridSpan w:val="2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1783" w:type="pct"/>
            <w:vAlign w:val="bottom"/>
            <w:textDirection w:val="lrTb"/>
            <w:noWrap w:val="false"/>
          </w:tcPr>
          <w:p>
            <w:pPr>
              <w:pStyle w:val="59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-</w:t>
            </w:r>
            <w:r>
              <w:rPr>
                <w:b/>
                <w:bCs/>
                <w:color w:val="000000"/>
              </w:rPr>
              <w:t xml:space="preserve">1 512</w:t>
            </w:r>
            <w:r>
              <w:rPr>
                <w:b/>
                <w:bCs/>
                <w:color w:val="000000"/>
              </w:rPr>
              <w:t xml:space="preserve">,54</w:t>
            </w:r>
            <w:r>
              <w:rPr>
                <w:b/>
                <w:bCs/>
                <w:color w:val="00000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638" w:type="pct"/>
            <w:vAlign w:val="bottom"/>
            <w:textDirection w:val="lrTb"/>
            <w:noWrap w:val="false"/>
          </w:tcPr>
          <w:p>
            <w:pPr>
              <w:pStyle w:val="59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710" w:type="pct"/>
            <w:vAlign w:val="center"/>
            <w:textDirection w:val="lrTb"/>
            <w:noWrap w:val="false"/>
          </w:tcPr>
          <w:p>
            <w:pPr>
              <w:pStyle w:val="59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 </w:t>
            </w:r>
            <w:r/>
          </w:p>
        </w:tc>
      </w:tr>
    </w:tbl>
    <w:p>
      <w:r/>
      <w:r/>
    </w:p>
    <w:sectPr>
      <w:footnotePr/>
      <w:type w:val="nextPage"/>
      <w:pgSz w:w="11906" w:h="16838" w:orient="portrait"/>
      <w:pgMar w:top="1134" w:right="993" w:bottom="709" w:left="1134" w:header="709" w:footer="709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Verdana">
    <w:panose1 w:val="020B060403050404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97"/>
        <w:ind w:left="624" w:hanging="984"/>
      </w:pPr>
    </w:lvl>
    <w:lvl w:ilvl="1">
      <w:start w:val="1"/>
      <w:numFmt w:val="lowerLetter"/>
      <w:isLgl w:val="false"/>
      <w:suff w:val="tab"/>
      <w:lvlText w:val="%2."/>
      <w:lvlJc w:val="left"/>
      <w:pPr>
        <w:pStyle w:val="597"/>
        <w:ind w:left="7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97"/>
        <w:ind w:left="144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97"/>
        <w:ind w:left="21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97"/>
        <w:ind w:left="28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97"/>
        <w:ind w:left="360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97"/>
        <w:ind w:left="43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97"/>
        <w:ind w:left="50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97"/>
        <w:ind w:left="5760" w:hanging="180"/>
      </w:p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597"/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597"/>
        <w:ind w:left="72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597"/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597"/>
        <w:ind w:left="180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597"/>
        <w:ind w:left="252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597"/>
        <w:ind w:left="28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597"/>
        <w:ind w:left="360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597"/>
        <w:ind w:left="39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597"/>
        <w:ind w:left="4680" w:hanging="180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97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597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97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97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97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97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97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97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97"/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597"/>
        <w:ind w:left="6456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597"/>
        <w:ind w:left="7176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97"/>
        <w:ind w:left="7896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97"/>
        <w:ind w:left="8616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97"/>
        <w:ind w:left="9336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97"/>
        <w:ind w:left="10056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97"/>
        <w:ind w:left="10776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97"/>
        <w:ind w:left="11496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97"/>
        <w:ind w:left="12216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597"/>
        <w:ind w:left="420" w:hanging="420"/>
      </w:pPr>
    </w:lvl>
    <w:lvl w:ilvl="1">
      <w:start w:val="1"/>
      <w:numFmt w:val="decimal"/>
      <w:isLgl w:val="false"/>
      <w:suff w:val="tab"/>
      <w:lvlText w:val="%1.%2"/>
      <w:lvlJc w:val="left"/>
      <w:pPr>
        <w:pStyle w:val="597"/>
        <w:ind w:left="1128" w:hanging="420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597"/>
        <w:ind w:left="2136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597"/>
        <w:ind w:left="2844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597"/>
        <w:ind w:left="3912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597"/>
        <w:ind w:left="4620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597"/>
        <w:ind w:left="5688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597"/>
        <w:ind w:left="6396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597"/>
        <w:ind w:left="7464" w:hanging="180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597"/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597"/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97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97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97"/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97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97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97"/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97"/>
        <w:ind w:left="648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97"/>
        <w:ind w:left="1713" w:hanging="1005"/>
        <w:tabs>
          <w:tab w:val="left" w:pos="1713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97"/>
        <w:ind w:left="1788" w:hanging="360"/>
        <w:tabs>
          <w:tab w:val="left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97"/>
        <w:ind w:left="2508" w:hanging="180"/>
        <w:tabs>
          <w:tab w:val="left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97"/>
        <w:ind w:left="3228" w:hanging="360"/>
        <w:tabs>
          <w:tab w:val="left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97"/>
        <w:ind w:left="3948" w:hanging="360"/>
        <w:tabs>
          <w:tab w:val="left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97"/>
        <w:ind w:left="4668" w:hanging="180"/>
        <w:tabs>
          <w:tab w:val="left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97"/>
        <w:ind w:left="5388" w:hanging="360"/>
        <w:tabs>
          <w:tab w:val="left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97"/>
        <w:ind w:left="6108" w:hanging="360"/>
        <w:tabs>
          <w:tab w:val="left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97"/>
        <w:ind w:left="6828" w:hanging="180"/>
        <w:tabs>
          <w:tab w:val="left" w:pos="6828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97"/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597"/>
        <w:ind w:left="716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597"/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597"/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597"/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597"/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597"/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597"/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597"/>
        <w:ind w:left="4320" w:hanging="144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97"/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597"/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97"/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97"/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97"/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97"/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97"/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97"/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97"/>
        <w:ind w:left="6546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597"/>
        <w:ind w:left="2188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597"/>
        <w:ind w:left="2908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97"/>
        <w:ind w:left="362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97"/>
        <w:ind w:left="434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97"/>
        <w:ind w:left="5068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97"/>
        <w:ind w:left="578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97"/>
        <w:ind w:left="650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97"/>
        <w:ind w:left="7228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97"/>
        <w:ind w:left="7948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97"/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597"/>
        <w:ind w:left="108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597"/>
        <w:ind w:left="180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597"/>
        <w:ind w:left="216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597"/>
        <w:ind w:left="28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597"/>
        <w:ind w:left="324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597"/>
        <w:ind w:left="39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597"/>
        <w:ind w:left="432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597"/>
        <w:ind w:left="5040" w:hanging="180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597"/>
        <w:ind w:left="360" w:hanging="360"/>
      </w:pPr>
    </w:lvl>
    <w:lvl w:ilvl="1">
      <w:start w:val="1"/>
      <w:numFmt w:val="decimal"/>
      <w:isLgl w:val="false"/>
      <w:suff w:val="tab"/>
      <w:lvlText w:val="%1.%2"/>
      <w:lvlJc w:val="left"/>
      <w:pPr>
        <w:pStyle w:val="597"/>
        <w:ind w:left="927" w:hanging="360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597"/>
        <w:ind w:left="1854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597"/>
        <w:ind w:left="2421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597"/>
        <w:ind w:left="3348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597"/>
        <w:ind w:left="3915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597"/>
        <w:ind w:left="4842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597"/>
        <w:ind w:left="5409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597"/>
        <w:ind w:left="6336" w:hanging="180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97"/>
        <w:ind w:left="76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597"/>
        <w:ind w:left="14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97"/>
        <w:ind w:left="220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97"/>
        <w:ind w:left="29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97"/>
        <w:ind w:left="36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97"/>
        <w:ind w:left="436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97"/>
        <w:ind w:left="50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97"/>
        <w:ind w:left="58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97"/>
        <w:ind w:left="6525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97"/>
        <w:ind w:left="1068" w:hanging="360"/>
        <w:tabs>
          <w:tab w:val="left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97"/>
        <w:ind w:left="1788" w:hanging="360"/>
        <w:tabs>
          <w:tab w:val="left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97"/>
        <w:ind w:left="2508" w:hanging="180"/>
        <w:tabs>
          <w:tab w:val="left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97"/>
        <w:ind w:left="3228" w:hanging="360"/>
        <w:tabs>
          <w:tab w:val="left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97"/>
        <w:ind w:left="3948" w:hanging="360"/>
        <w:tabs>
          <w:tab w:val="left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97"/>
        <w:ind w:left="4668" w:hanging="180"/>
        <w:tabs>
          <w:tab w:val="left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97"/>
        <w:ind w:left="5388" w:hanging="360"/>
        <w:tabs>
          <w:tab w:val="left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97"/>
        <w:ind w:left="6108" w:hanging="360"/>
        <w:tabs>
          <w:tab w:val="left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97"/>
        <w:ind w:left="6828" w:hanging="180"/>
        <w:tabs>
          <w:tab w:val="left" w:pos="6828" w:leader="none"/>
        </w:tabs>
      </w:pPr>
    </w:lvl>
  </w:abstractNum>
  <w:abstractNum w:abstractNumId="1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597"/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597"/>
        <w:ind w:left="1068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597"/>
        <w:ind w:left="2136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597"/>
        <w:ind w:left="2844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597"/>
        <w:ind w:left="3912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597"/>
        <w:ind w:left="462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597"/>
        <w:ind w:left="5688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597"/>
        <w:ind w:left="6396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597"/>
        <w:ind w:left="7464" w:hanging="180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97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597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97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97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97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97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97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97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97"/>
        <w:ind w:left="6480" w:hanging="180"/>
      </w:pPr>
    </w:lvl>
  </w:abstractNum>
  <w:abstractNum w:abstractNumId="1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597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597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97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97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97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97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97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97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97"/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597"/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"/>
      <w:lvlJc w:val="left"/>
      <w:pPr>
        <w:pStyle w:val="597"/>
        <w:ind w:left="1068" w:hanging="360"/>
      </w:pPr>
      <w:rPr>
        <w:b/>
      </w:rPr>
    </w:lvl>
    <w:lvl w:ilvl="2">
      <w:start w:val="1"/>
      <w:numFmt w:val="decimal"/>
      <w:isLgl w:val="false"/>
      <w:suff w:val="tab"/>
      <w:lvlText w:val="%1.%2.%3"/>
      <w:lvlJc w:val="left"/>
      <w:pPr>
        <w:pStyle w:val="597"/>
        <w:ind w:left="2136" w:hanging="720"/>
      </w:pPr>
      <w:rPr>
        <w:b/>
      </w:rPr>
    </w:lvl>
    <w:lvl w:ilvl="3">
      <w:start w:val="1"/>
      <w:numFmt w:val="decimal"/>
      <w:isLgl w:val="false"/>
      <w:suff w:val="tab"/>
      <w:lvlText w:val="%1.%2.%3.%4"/>
      <w:lvlJc w:val="left"/>
      <w:pPr>
        <w:pStyle w:val="597"/>
        <w:ind w:left="2844" w:hanging="720"/>
      </w:pPr>
      <w:rPr>
        <w:b/>
      </w:rPr>
    </w:lvl>
    <w:lvl w:ilvl="4">
      <w:start w:val="1"/>
      <w:numFmt w:val="decimal"/>
      <w:isLgl w:val="false"/>
      <w:suff w:val="tab"/>
      <w:lvlText w:val="%1.%2.%3.%4.%5"/>
      <w:lvlJc w:val="left"/>
      <w:pPr>
        <w:pStyle w:val="597"/>
        <w:ind w:left="3912" w:hanging="1080"/>
      </w:pPr>
      <w:rPr>
        <w:b/>
      </w:rPr>
    </w:lvl>
    <w:lvl w:ilvl="5">
      <w:start w:val="1"/>
      <w:numFmt w:val="decimal"/>
      <w:isLgl w:val="false"/>
      <w:suff w:val="tab"/>
      <w:lvlText w:val="%1.%2.%3.%4.%5.%6"/>
      <w:lvlJc w:val="left"/>
      <w:pPr>
        <w:pStyle w:val="597"/>
        <w:ind w:left="4620" w:hanging="1080"/>
      </w:pPr>
      <w:rPr>
        <w:b/>
      </w:rPr>
    </w:lvl>
    <w:lvl w:ilvl="6">
      <w:start w:val="1"/>
      <w:numFmt w:val="decimal"/>
      <w:isLgl w:val="false"/>
      <w:suff w:val="tab"/>
      <w:lvlText w:val="%1.%2.%3.%4.%5.%6.%7"/>
      <w:lvlJc w:val="left"/>
      <w:pPr>
        <w:pStyle w:val="597"/>
        <w:ind w:left="5688" w:hanging="1440"/>
      </w:pPr>
      <w:rPr>
        <w:b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597"/>
        <w:ind w:left="6396" w:hanging="1440"/>
      </w:pPr>
      <w:rPr>
        <w:b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597"/>
        <w:ind w:left="7464" w:hanging="1800"/>
      </w:pPr>
      <w:rPr>
        <w:b/>
      </w:rPr>
    </w:lvl>
  </w:abstractNum>
  <w:abstractNum w:abstractNumId="18">
    <w:multiLevelType w:val="hybridMultilevel"/>
    <w:lvl w:ilvl="0">
      <w:start w:val="2"/>
      <w:numFmt w:val="bullet"/>
      <w:isLgl w:val="false"/>
      <w:suff w:val="tab"/>
      <w:lvlText w:val="-"/>
      <w:lvlJc w:val="left"/>
      <w:pPr>
        <w:pStyle w:val="597"/>
        <w:ind w:left="720" w:hanging="360"/>
        <w:tabs>
          <w:tab w:val="left" w:pos="720" w:leader="none"/>
        </w:tabs>
      </w:pPr>
      <w:rPr>
        <w:rFonts w:ascii="Times New Roman" w:hAnsi="Times New Roman" w:eastAsia="Times New Roman"/>
      </w:rPr>
    </w:lvl>
    <w:lvl w:ilvl="1">
      <w:start w:val="1"/>
      <w:numFmt w:val="decimal"/>
      <w:isLgl w:val="false"/>
      <w:suff w:val="tab"/>
      <w:lvlText w:val="%2."/>
      <w:lvlJc w:val="left"/>
      <w:pPr>
        <w:pStyle w:val="597"/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pStyle w:val="597"/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97"/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pStyle w:val="597"/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pStyle w:val="597"/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97"/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pStyle w:val="597"/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pStyle w:val="597"/>
        <w:ind w:left="6480" w:hanging="360"/>
        <w:tabs>
          <w:tab w:val="left" w:pos="6480" w:leader="none"/>
        </w:tabs>
      </w:pPr>
    </w:lvl>
  </w:abstractNum>
  <w:num w:numId="1">
    <w:abstractNumId w:val="1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3"/>
  </w:num>
  <w:num w:numId="4">
    <w:abstractNumId w:val="18"/>
  </w:num>
  <w:num w:numId="5">
    <w:abstractNumId w:val="4"/>
  </w:num>
  <w:num w:numId="6">
    <w:abstractNumId w:val="17"/>
  </w:num>
  <w:num w:numId="7">
    <w:abstractNumId w:val="14"/>
  </w:num>
  <w:num w:numId="8">
    <w:abstractNumId w:val="7"/>
  </w:num>
  <w:num w:numId="9">
    <w:abstractNumId w:val="1"/>
  </w:num>
  <w:num w:numId="10">
    <w:abstractNumId w:val="9"/>
  </w:num>
  <w:num w:numId="11">
    <w:abstractNumId w:val="3"/>
  </w:num>
  <w:num w:numId="12">
    <w:abstractNumId w:val="0"/>
  </w:num>
  <w:num w:numId="13">
    <w:abstractNumId w:val="5"/>
  </w:num>
  <w:num w:numId="14">
    <w:abstractNumId w:val="10"/>
  </w:num>
  <w:num w:numId="15">
    <w:abstractNumId w:val="12"/>
  </w:num>
  <w:num w:numId="16">
    <w:abstractNumId w:val="2"/>
  </w:num>
  <w:num w:numId="17">
    <w:abstractNumId w:val="16"/>
  </w:num>
  <w:num w:numId="18">
    <w:abstractNumId w:val="11"/>
  </w:num>
  <w:num w:numId="19">
    <w:abstractNumId w:val="15"/>
  </w:num>
  <w:num w:numId="20">
    <w:abstractNumId w:val="8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25">
    <w:name w:val="Heading 1"/>
    <w:link w:val="42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26">
    <w:name w:val="Heading 1 Char"/>
    <w:link w:val="425"/>
    <w:uiPriority w:val="9"/>
    <w:rPr>
      <w:rFonts w:ascii="Arial" w:hAnsi="Arial" w:cs="Arial" w:eastAsia="Arial"/>
      <w:sz w:val="40"/>
      <w:szCs w:val="40"/>
    </w:rPr>
  </w:style>
  <w:style w:type="paragraph" w:styleId="427">
    <w:name w:val="Heading 2"/>
    <w:link w:val="42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28">
    <w:name w:val="Heading 2 Char"/>
    <w:link w:val="427"/>
    <w:uiPriority w:val="9"/>
    <w:rPr>
      <w:rFonts w:ascii="Arial" w:hAnsi="Arial" w:cs="Arial" w:eastAsia="Arial"/>
      <w:sz w:val="34"/>
    </w:rPr>
  </w:style>
  <w:style w:type="paragraph" w:styleId="429">
    <w:name w:val="Heading 3"/>
    <w:link w:val="43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30">
    <w:name w:val="Heading 3 Char"/>
    <w:link w:val="429"/>
    <w:uiPriority w:val="9"/>
    <w:rPr>
      <w:rFonts w:ascii="Arial" w:hAnsi="Arial" w:cs="Arial" w:eastAsia="Arial"/>
      <w:sz w:val="30"/>
      <w:szCs w:val="30"/>
    </w:rPr>
  </w:style>
  <w:style w:type="paragraph" w:styleId="431">
    <w:name w:val="Heading 4"/>
    <w:link w:val="43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32">
    <w:name w:val="Heading 4 Char"/>
    <w:link w:val="431"/>
    <w:uiPriority w:val="9"/>
    <w:rPr>
      <w:rFonts w:ascii="Arial" w:hAnsi="Arial" w:cs="Arial" w:eastAsia="Arial"/>
      <w:b/>
      <w:bCs/>
      <w:sz w:val="26"/>
      <w:szCs w:val="26"/>
    </w:rPr>
  </w:style>
  <w:style w:type="paragraph" w:styleId="433">
    <w:name w:val="Heading 5"/>
    <w:link w:val="43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34">
    <w:name w:val="Heading 5 Char"/>
    <w:link w:val="433"/>
    <w:uiPriority w:val="9"/>
    <w:rPr>
      <w:rFonts w:ascii="Arial" w:hAnsi="Arial" w:cs="Arial" w:eastAsia="Arial"/>
      <w:b/>
      <w:bCs/>
      <w:sz w:val="24"/>
      <w:szCs w:val="24"/>
    </w:rPr>
  </w:style>
  <w:style w:type="paragraph" w:styleId="435">
    <w:name w:val="Heading 6"/>
    <w:link w:val="43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36">
    <w:name w:val="Heading 6 Char"/>
    <w:link w:val="435"/>
    <w:uiPriority w:val="9"/>
    <w:rPr>
      <w:rFonts w:ascii="Arial" w:hAnsi="Arial" w:cs="Arial" w:eastAsia="Arial"/>
      <w:b/>
      <w:bCs/>
      <w:sz w:val="22"/>
      <w:szCs w:val="22"/>
    </w:rPr>
  </w:style>
  <w:style w:type="paragraph" w:styleId="437">
    <w:name w:val="Heading 7"/>
    <w:link w:val="43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38">
    <w:name w:val="Heading 7 Char"/>
    <w:link w:val="43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39">
    <w:name w:val="Heading 8"/>
    <w:link w:val="44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40">
    <w:name w:val="Heading 8 Char"/>
    <w:link w:val="439"/>
    <w:uiPriority w:val="9"/>
    <w:rPr>
      <w:rFonts w:ascii="Arial" w:hAnsi="Arial" w:cs="Arial" w:eastAsia="Arial"/>
      <w:i/>
      <w:iCs/>
      <w:sz w:val="22"/>
      <w:szCs w:val="22"/>
    </w:rPr>
  </w:style>
  <w:style w:type="paragraph" w:styleId="441">
    <w:name w:val="Heading 9"/>
    <w:link w:val="44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42">
    <w:name w:val="Heading 9 Char"/>
    <w:link w:val="441"/>
    <w:uiPriority w:val="9"/>
    <w:rPr>
      <w:rFonts w:ascii="Arial" w:hAnsi="Arial" w:cs="Arial" w:eastAsia="Arial"/>
      <w:i/>
      <w:iCs/>
      <w:sz w:val="21"/>
      <w:szCs w:val="21"/>
    </w:rPr>
  </w:style>
  <w:style w:type="paragraph" w:styleId="443">
    <w:name w:val="List Paragraph"/>
    <w:qFormat/>
    <w:uiPriority w:val="34"/>
    <w:pPr>
      <w:contextualSpacing w:val="true"/>
      <w:ind w:left="720"/>
    </w:pPr>
  </w:style>
  <w:style w:type="paragraph" w:styleId="444">
    <w:name w:val="No Spacing"/>
    <w:qFormat/>
    <w:uiPriority w:val="1"/>
    <w:pPr>
      <w:spacing w:lineRule="auto" w:line="240" w:after="0" w:before="0"/>
    </w:pPr>
  </w:style>
  <w:style w:type="paragraph" w:styleId="445">
    <w:name w:val="Title"/>
    <w:link w:val="446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46">
    <w:name w:val="Title Char"/>
    <w:link w:val="445"/>
    <w:uiPriority w:val="10"/>
    <w:rPr>
      <w:sz w:val="48"/>
      <w:szCs w:val="48"/>
    </w:rPr>
  </w:style>
  <w:style w:type="paragraph" w:styleId="447">
    <w:name w:val="Subtitle"/>
    <w:link w:val="448"/>
    <w:qFormat/>
    <w:uiPriority w:val="11"/>
    <w:rPr>
      <w:sz w:val="24"/>
      <w:szCs w:val="24"/>
    </w:rPr>
    <w:pPr>
      <w:spacing w:after="200" w:before="200"/>
    </w:pPr>
  </w:style>
  <w:style w:type="character" w:styleId="448">
    <w:name w:val="Subtitle Char"/>
    <w:link w:val="447"/>
    <w:uiPriority w:val="11"/>
    <w:rPr>
      <w:sz w:val="24"/>
      <w:szCs w:val="24"/>
    </w:rPr>
  </w:style>
  <w:style w:type="paragraph" w:styleId="449">
    <w:name w:val="Quote"/>
    <w:link w:val="450"/>
    <w:qFormat/>
    <w:uiPriority w:val="29"/>
    <w:rPr>
      <w:i/>
    </w:rPr>
    <w:pPr>
      <w:ind w:left="720" w:right="720"/>
    </w:pPr>
  </w:style>
  <w:style w:type="character" w:styleId="450">
    <w:name w:val="Quote Char"/>
    <w:link w:val="449"/>
    <w:uiPriority w:val="29"/>
    <w:rPr>
      <w:i/>
    </w:rPr>
  </w:style>
  <w:style w:type="paragraph" w:styleId="451">
    <w:name w:val="Intense Quote"/>
    <w:link w:val="452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52">
    <w:name w:val="Intense Quote Char"/>
    <w:link w:val="451"/>
    <w:uiPriority w:val="30"/>
    <w:rPr>
      <w:i/>
    </w:rPr>
  </w:style>
  <w:style w:type="paragraph" w:styleId="453">
    <w:name w:val="Header"/>
    <w:link w:val="454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54">
    <w:name w:val="Header Char"/>
    <w:link w:val="453"/>
    <w:uiPriority w:val="99"/>
  </w:style>
  <w:style w:type="paragraph" w:styleId="455">
    <w:name w:val="Footer"/>
    <w:link w:val="456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56">
    <w:name w:val="Footer Char"/>
    <w:link w:val="455"/>
    <w:uiPriority w:val="99"/>
  </w:style>
  <w:style w:type="table" w:styleId="457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8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9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60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61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62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3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64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5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6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7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8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9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0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1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72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73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74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76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78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1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2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3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4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5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86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87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88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89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90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91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92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93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94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95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96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97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98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99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00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01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02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03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04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05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06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09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10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11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12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13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14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15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16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17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18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9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20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21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22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23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24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25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26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27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8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9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0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1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2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3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4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5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6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7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8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9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0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1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42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43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44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45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46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47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48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49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50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51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52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53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54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55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56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57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58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59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60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61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62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63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64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65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66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67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68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69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70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71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72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73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74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75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76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77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78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79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80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81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82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83">
    <w:name w:val="Hyperlink"/>
    <w:uiPriority w:val="99"/>
    <w:unhideWhenUsed/>
    <w:rPr>
      <w:color w:val="0000FF" w:themeColor="hyperlink"/>
      <w:u w:val="single"/>
    </w:rPr>
  </w:style>
  <w:style w:type="paragraph" w:styleId="584">
    <w:name w:val="footnote text"/>
    <w:link w:val="585"/>
    <w:uiPriority w:val="99"/>
    <w:semiHidden/>
    <w:unhideWhenUsed/>
    <w:rPr>
      <w:sz w:val="18"/>
    </w:rPr>
    <w:pPr>
      <w:spacing w:lineRule="auto" w:line="240" w:after="40"/>
    </w:pPr>
  </w:style>
  <w:style w:type="character" w:styleId="585">
    <w:name w:val="Footnote Text Char"/>
    <w:link w:val="584"/>
    <w:uiPriority w:val="99"/>
    <w:rPr>
      <w:sz w:val="18"/>
    </w:rPr>
  </w:style>
  <w:style w:type="character" w:styleId="586">
    <w:name w:val="footnote reference"/>
    <w:uiPriority w:val="99"/>
    <w:unhideWhenUsed/>
    <w:rPr>
      <w:vertAlign w:val="superscript"/>
    </w:rPr>
  </w:style>
  <w:style w:type="paragraph" w:styleId="587">
    <w:name w:val="toc 1"/>
    <w:uiPriority w:val="39"/>
    <w:unhideWhenUsed/>
    <w:pPr>
      <w:ind w:left="0" w:right="0" w:firstLine="0"/>
      <w:spacing w:after="57"/>
    </w:pPr>
  </w:style>
  <w:style w:type="paragraph" w:styleId="588">
    <w:name w:val="toc 2"/>
    <w:uiPriority w:val="39"/>
    <w:unhideWhenUsed/>
    <w:pPr>
      <w:ind w:left="283" w:right="0" w:firstLine="0"/>
      <w:spacing w:after="57"/>
    </w:pPr>
  </w:style>
  <w:style w:type="paragraph" w:styleId="589">
    <w:name w:val="toc 3"/>
    <w:uiPriority w:val="39"/>
    <w:unhideWhenUsed/>
    <w:pPr>
      <w:ind w:left="567" w:right="0" w:firstLine="0"/>
      <w:spacing w:after="57"/>
    </w:pPr>
  </w:style>
  <w:style w:type="paragraph" w:styleId="590">
    <w:name w:val="toc 4"/>
    <w:uiPriority w:val="39"/>
    <w:unhideWhenUsed/>
    <w:pPr>
      <w:ind w:left="850" w:right="0" w:firstLine="0"/>
      <w:spacing w:after="57"/>
    </w:pPr>
  </w:style>
  <w:style w:type="paragraph" w:styleId="591">
    <w:name w:val="toc 5"/>
    <w:uiPriority w:val="39"/>
    <w:unhideWhenUsed/>
    <w:pPr>
      <w:ind w:left="1134" w:right="0" w:firstLine="0"/>
      <w:spacing w:after="57"/>
    </w:pPr>
  </w:style>
  <w:style w:type="paragraph" w:styleId="592">
    <w:name w:val="toc 6"/>
    <w:uiPriority w:val="39"/>
    <w:unhideWhenUsed/>
    <w:pPr>
      <w:ind w:left="1417" w:right="0" w:firstLine="0"/>
      <w:spacing w:after="57"/>
    </w:pPr>
  </w:style>
  <w:style w:type="paragraph" w:styleId="593">
    <w:name w:val="toc 7"/>
    <w:uiPriority w:val="39"/>
    <w:unhideWhenUsed/>
    <w:pPr>
      <w:ind w:left="1701" w:right="0" w:firstLine="0"/>
      <w:spacing w:after="57"/>
    </w:pPr>
  </w:style>
  <w:style w:type="paragraph" w:styleId="594">
    <w:name w:val="toc 8"/>
    <w:uiPriority w:val="39"/>
    <w:unhideWhenUsed/>
    <w:pPr>
      <w:ind w:left="1984" w:right="0" w:firstLine="0"/>
      <w:spacing w:after="57"/>
    </w:pPr>
  </w:style>
  <w:style w:type="paragraph" w:styleId="595">
    <w:name w:val="toc 9"/>
    <w:uiPriority w:val="39"/>
    <w:unhideWhenUsed/>
    <w:pPr>
      <w:ind w:left="2268" w:right="0" w:firstLine="0"/>
      <w:spacing w:after="57"/>
    </w:pPr>
  </w:style>
  <w:style w:type="paragraph" w:styleId="596">
    <w:name w:val="TOC Heading"/>
    <w:uiPriority w:val="39"/>
    <w:unhideWhenUsed/>
  </w:style>
  <w:style w:type="paragraph" w:styleId="597">
    <w:name w:val="Обычный"/>
    <w:next w:val="597"/>
    <w:link w:val="597"/>
    <w:rPr>
      <w:sz w:val="24"/>
      <w:szCs w:val="24"/>
      <w:lang w:val="ru-RU" w:bidi="ar-SA" w:eastAsia="ru-RU"/>
    </w:rPr>
  </w:style>
  <w:style w:type="paragraph" w:styleId="598">
    <w:name w:val="Заголовок 2"/>
    <w:basedOn w:val="597"/>
    <w:next w:val="598"/>
    <w:link w:val="602"/>
    <w:rPr>
      <w:b/>
      <w:bCs/>
      <w:sz w:val="36"/>
      <w:szCs w:val="36"/>
    </w:rPr>
    <w:pPr>
      <w:spacing w:after="100" w:afterAutospacing="1" w:before="100" w:beforeAutospacing="1"/>
      <w:outlineLvl w:val="1"/>
    </w:pPr>
  </w:style>
  <w:style w:type="character" w:styleId="599">
    <w:name w:val="Основной шрифт абзаца"/>
    <w:next w:val="599"/>
    <w:link w:val="597"/>
    <w:semiHidden/>
  </w:style>
  <w:style w:type="table" w:styleId="600">
    <w:name w:val="Обычная таблица"/>
    <w:next w:val="600"/>
    <w:link w:val="597"/>
    <w:semiHidden/>
    <w:tblPr/>
  </w:style>
  <w:style w:type="numbering" w:styleId="601">
    <w:name w:val="Нет списка"/>
    <w:next w:val="601"/>
    <w:link w:val="597"/>
    <w:semiHidden/>
  </w:style>
  <w:style w:type="character" w:styleId="602">
    <w:name w:val="Заголовок 2 Знак"/>
    <w:next w:val="602"/>
    <w:link w:val="598"/>
    <w:rPr>
      <w:b/>
      <w:bCs/>
      <w:sz w:val="36"/>
      <w:szCs w:val="36"/>
    </w:rPr>
  </w:style>
  <w:style w:type="paragraph" w:styleId="603">
    <w:name w:val="Основной текст"/>
    <w:basedOn w:val="597"/>
    <w:next w:val="603"/>
    <w:link w:val="597"/>
    <w:pPr>
      <w:jc w:val="both"/>
    </w:pPr>
  </w:style>
  <w:style w:type="paragraph" w:styleId="604">
    <w:name w:val="Текст выноски"/>
    <w:basedOn w:val="597"/>
    <w:next w:val="604"/>
    <w:link w:val="597"/>
    <w:semiHidden/>
    <w:rPr>
      <w:rFonts w:ascii="Tahoma" w:hAnsi="Tahoma"/>
      <w:sz w:val="16"/>
      <w:szCs w:val="16"/>
    </w:rPr>
  </w:style>
  <w:style w:type="paragraph" w:styleId="605">
    <w:name w:val=" Char Char"/>
    <w:basedOn w:val="597"/>
    <w:next w:val="605"/>
    <w:link w:val="597"/>
    <w:rPr>
      <w:rFonts w:ascii="Verdana" w:hAnsi="Verdana"/>
      <w:sz w:val="20"/>
      <w:szCs w:val="20"/>
      <w:lang w:val="en-US" w:eastAsia="en-US"/>
    </w:rPr>
    <w:pPr>
      <w:spacing w:lineRule="exact" w:line="240" w:after="160"/>
    </w:pPr>
  </w:style>
  <w:style w:type="character" w:styleId="606">
    <w:name w:val="Гиперссылка"/>
    <w:next w:val="606"/>
    <w:link w:val="597"/>
    <w:rPr>
      <w:color w:val="0000FF"/>
      <w:u w:val="single"/>
    </w:rPr>
  </w:style>
  <w:style w:type="character" w:styleId="607">
    <w:name w:val="blk"/>
    <w:basedOn w:val="599"/>
    <w:next w:val="607"/>
    <w:link w:val="597"/>
  </w:style>
  <w:style w:type="paragraph" w:styleId="608">
    <w:name w:val="Абзац списка"/>
    <w:basedOn w:val="597"/>
    <w:next w:val="608"/>
    <w:link w:val="597"/>
    <w:pPr>
      <w:contextualSpacing w:val="true"/>
      <w:ind w:left="720"/>
    </w:pPr>
  </w:style>
  <w:style w:type="paragraph" w:styleId="609">
    <w:name w:val="ConsPlusTitle"/>
    <w:next w:val="609"/>
    <w:link w:val="597"/>
    <w:rPr>
      <w:rFonts w:ascii="Arial" w:hAnsi="Arial"/>
      <w:b/>
      <w:bCs/>
      <w:lang w:val="ru-RU" w:bidi="ar-SA" w:eastAsia="ru-RU"/>
    </w:rPr>
    <w:pPr>
      <w:widowControl w:val="off"/>
    </w:pPr>
  </w:style>
  <w:style w:type="paragraph" w:styleId="610">
    <w:name w:val="xl65"/>
    <w:basedOn w:val="597"/>
    <w:next w:val="610"/>
    <w:link w:val="597"/>
    <w:pPr>
      <w:spacing w:after="100" w:afterAutospacing="1" w:before="100" w:beforeAutospacing="1"/>
    </w:pPr>
  </w:style>
  <w:style w:type="paragraph" w:styleId="611">
    <w:name w:val="xl66"/>
    <w:basedOn w:val="597"/>
    <w:next w:val="611"/>
    <w:link w:val="597"/>
    <w:rPr>
      <w:i/>
      <w:iCs/>
    </w:rPr>
    <w:pPr>
      <w:spacing w:after="100" w:afterAutospacing="1" w:before="100" w:beforeAutospacing="1"/>
    </w:pPr>
  </w:style>
  <w:style w:type="paragraph" w:styleId="612">
    <w:name w:val="xl67"/>
    <w:basedOn w:val="597"/>
    <w:next w:val="612"/>
    <w:link w:val="597"/>
    <w:rPr>
      <w:b/>
      <w:bCs/>
    </w:rPr>
    <w:pPr>
      <w:spacing w:after="100" w:afterAutospacing="1" w:before="100" w:beforeAutospacing="1"/>
    </w:pPr>
  </w:style>
  <w:style w:type="paragraph" w:styleId="613">
    <w:name w:val="xl68"/>
    <w:basedOn w:val="597"/>
    <w:next w:val="613"/>
    <w:link w:val="597"/>
    <w:pPr>
      <w:jc w:val="center"/>
      <w:spacing w:after="100" w:afterAutospacing="1" w:before="100" w:beforeAutospacing="1"/>
    </w:pPr>
  </w:style>
  <w:style w:type="paragraph" w:styleId="614">
    <w:name w:val="xl69"/>
    <w:basedOn w:val="597"/>
    <w:next w:val="614"/>
    <w:link w:val="597"/>
    <w:rPr>
      <w:b/>
      <w:bCs/>
    </w:rPr>
    <w:pPr>
      <w:spacing w:after="100" w:afterAutospacing="1" w:before="100" w:beforeAutospacing="1"/>
    </w:pPr>
  </w:style>
  <w:style w:type="paragraph" w:styleId="615">
    <w:name w:val="xl70"/>
    <w:basedOn w:val="597"/>
    <w:next w:val="615"/>
    <w:link w:val="597"/>
    <w:rPr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16">
    <w:name w:val="xl71"/>
    <w:basedOn w:val="597"/>
    <w:next w:val="616"/>
    <w:link w:val="597"/>
    <w:rPr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17">
    <w:name w:val="xl72"/>
    <w:basedOn w:val="597"/>
    <w:next w:val="617"/>
    <w:link w:val="597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18">
    <w:name w:val="xl73"/>
    <w:basedOn w:val="597"/>
    <w:next w:val="618"/>
    <w:link w:val="597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19">
    <w:name w:val="xl74"/>
    <w:basedOn w:val="597"/>
    <w:next w:val="619"/>
    <w:link w:val="597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20">
    <w:name w:val="xl75"/>
    <w:basedOn w:val="597"/>
    <w:next w:val="620"/>
    <w:link w:val="597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21">
    <w:name w:val="xl76"/>
    <w:basedOn w:val="597"/>
    <w:next w:val="621"/>
    <w:link w:val="597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22">
    <w:name w:val="xl77"/>
    <w:basedOn w:val="597"/>
    <w:next w:val="622"/>
    <w:link w:val="597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23">
    <w:name w:val="xl78"/>
    <w:basedOn w:val="597"/>
    <w:next w:val="623"/>
    <w:link w:val="597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24">
    <w:name w:val="xl79"/>
    <w:basedOn w:val="597"/>
    <w:next w:val="624"/>
    <w:link w:val="597"/>
    <w:rPr>
      <w:b/>
      <w:bCs/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25">
    <w:name w:val="xl80"/>
    <w:basedOn w:val="597"/>
    <w:next w:val="625"/>
    <w:link w:val="597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8" w:space="0"/>
      </w:pBdr>
    </w:pPr>
  </w:style>
  <w:style w:type="paragraph" w:styleId="626">
    <w:name w:val="xl81"/>
    <w:basedOn w:val="597"/>
    <w:next w:val="626"/>
    <w:link w:val="597"/>
    <w:rPr>
      <w:i/>
      <w:iCs/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27">
    <w:name w:val="xl82"/>
    <w:basedOn w:val="597"/>
    <w:next w:val="627"/>
    <w:link w:val="597"/>
    <w:rPr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28">
    <w:name w:val="xl83"/>
    <w:basedOn w:val="597"/>
    <w:next w:val="628"/>
    <w:link w:val="597"/>
    <w:rPr>
      <w:i/>
      <w:iCs/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29">
    <w:name w:val="xl84"/>
    <w:basedOn w:val="597"/>
    <w:next w:val="629"/>
    <w:link w:val="597"/>
    <w:rPr>
      <w:i/>
      <w:iCs/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30">
    <w:name w:val="xl85"/>
    <w:basedOn w:val="597"/>
    <w:next w:val="630"/>
    <w:link w:val="597"/>
    <w:rPr>
      <w:i/>
      <w:iCs/>
      <w:sz w:val="18"/>
      <w:szCs w:val="18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31">
    <w:name w:val="xl86"/>
    <w:basedOn w:val="597"/>
    <w:next w:val="631"/>
    <w:link w:val="597"/>
    <w:rPr>
      <w:i/>
      <w:iCs/>
      <w:sz w:val="18"/>
      <w:szCs w:val="18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32">
    <w:name w:val="xl87"/>
    <w:basedOn w:val="597"/>
    <w:next w:val="632"/>
    <w:link w:val="597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3">
    <w:name w:val="xl88"/>
    <w:basedOn w:val="597"/>
    <w:next w:val="633"/>
    <w:link w:val="597"/>
    <w:rPr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4">
    <w:name w:val="xl89"/>
    <w:basedOn w:val="597"/>
    <w:next w:val="634"/>
    <w:link w:val="597"/>
    <w:pPr>
      <w:spacing w:after="100" w:afterAutospacing="1" w:before="100" w:beforeAutospacing="1"/>
    </w:pPr>
  </w:style>
  <w:style w:type="paragraph" w:styleId="635">
    <w:name w:val="xl90"/>
    <w:basedOn w:val="597"/>
    <w:next w:val="635"/>
    <w:link w:val="597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6">
    <w:name w:val="xl91"/>
    <w:basedOn w:val="597"/>
    <w:next w:val="636"/>
    <w:link w:val="597"/>
    <w:rPr>
      <w:color w:val="000000"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7">
    <w:name w:val="xl92"/>
    <w:basedOn w:val="597"/>
    <w:next w:val="637"/>
    <w:link w:val="597"/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8" w:space="0"/>
      </w:pBdr>
    </w:pPr>
  </w:style>
  <w:style w:type="paragraph" w:styleId="638">
    <w:name w:val="xl93"/>
    <w:basedOn w:val="597"/>
    <w:next w:val="638"/>
    <w:link w:val="597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8" w:space="0"/>
      </w:pBdr>
    </w:pPr>
  </w:style>
  <w:style w:type="paragraph" w:styleId="639">
    <w:name w:val="xl94"/>
    <w:basedOn w:val="597"/>
    <w:next w:val="639"/>
    <w:link w:val="597"/>
    <w:pPr>
      <w:jc w:val="center"/>
      <w:spacing w:after="100" w:afterAutospacing="1" w:before="100" w:beforeAutospacing="1"/>
    </w:pPr>
  </w:style>
  <w:style w:type="paragraph" w:styleId="640">
    <w:name w:val="xl95"/>
    <w:basedOn w:val="597"/>
    <w:next w:val="640"/>
    <w:link w:val="597"/>
    <w:rPr>
      <w:b/>
      <w:bCs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41">
    <w:name w:val="xl96"/>
    <w:basedOn w:val="597"/>
    <w:next w:val="641"/>
    <w:link w:val="597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2">
    <w:name w:val="xl97"/>
    <w:basedOn w:val="597"/>
    <w:next w:val="642"/>
    <w:link w:val="597"/>
    <w:rPr>
      <w:b/>
      <w:bCs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3">
    <w:name w:val="xl98"/>
    <w:basedOn w:val="597"/>
    <w:next w:val="643"/>
    <w:link w:val="597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4">
    <w:name w:val="xl99"/>
    <w:basedOn w:val="597"/>
    <w:next w:val="644"/>
    <w:link w:val="597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5">
    <w:name w:val="xl100"/>
    <w:basedOn w:val="597"/>
    <w:next w:val="645"/>
    <w:link w:val="597"/>
    <w:rPr>
      <w:b/>
      <w:b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6">
    <w:name w:val="xl101"/>
    <w:basedOn w:val="597"/>
    <w:next w:val="646"/>
    <w:link w:val="597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7">
    <w:name w:val="xl102"/>
    <w:basedOn w:val="597"/>
    <w:next w:val="647"/>
    <w:link w:val="597"/>
    <w:rPr>
      <w:i/>
      <w:i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8">
    <w:name w:val="xl103"/>
    <w:basedOn w:val="597"/>
    <w:next w:val="648"/>
    <w:link w:val="597"/>
    <w:rPr>
      <w:b/>
      <w:bCs/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9">
    <w:name w:val="xl104"/>
    <w:basedOn w:val="597"/>
    <w:next w:val="649"/>
    <w:link w:val="597"/>
    <w:rPr>
      <w:i/>
      <w:i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0">
    <w:name w:val="xl105"/>
    <w:basedOn w:val="597"/>
    <w:next w:val="650"/>
    <w:link w:val="597"/>
    <w:rPr>
      <w:b/>
      <w:bCs/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1">
    <w:name w:val="xl106"/>
    <w:basedOn w:val="597"/>
    <w:next w:val="651"/>
    <w:link w:val="597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2">
    <w:name w:val="xl107"/>
    <w:basedOn w:val="597"/>
    <w:next w:val="652"/>
    <w:link w:val="597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3">
    <w:name w:val="xl108"/>
    <w:basedOn w:val="597"/>
    <w:next w:val="653"/>
    <w:link w:val="597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4">
    <w:name w:val="xl109"/>
    <w:basedOn w:val="597"/>
    <w:next w:val="654"/>
    <w:link w:val="597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8" w:space="0"/>
      </w:pBdr>
    </w:pPr>
  </w:style>
  <w:style w:type="paragraph" w:styleId="655">
    <w:name w:val="xl110"/>
    <w:basedOn w:val="597"/>
    <w:next w:val="655"/>
    <w:link w:val="597"/>
    <w:rPr>
      <w:b/>
      <w:bCs/>
      <w:i/>
      <w:i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6">
    <w:name w:val="xl111"/>
    <w:basedOn w:val="597"/>
    <w:next w:val="656"/>
    <w:link w:val="597"/>
    <w:pPr>
      <w:jc w:val="center"/>
      <w:spacing w:after="100" w:afterAutospacing="1" w:before="100" w:beforeAutospacing="1"/>
    </w:pPr>
  </w:style>
  <w:style w:type="paragraph" w:styleId="657">
    <w:name w:val="xl112"/>
    <w:basedOn w:val="597"/>
    <w:next w:val="657"/>
    <w:link w:val="597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4" w:space="0"/>
        <w:bottom w:val="single" w:color="000000" w:sz="8" w:space="0"/>
      </w:pBdr>
    </w:pPr>
  </w:style>
  <w:style w:type="paragraph" w:styleId="658">
    <w:name w:val="xl113"/>
    <w:basedOn w:val="597"/>
    <w:next w:val="658"/>
    <w:link w:val="597"/>
    <w:rPr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</w:pBdr>
    </w:pPr>
  </w:style>
  <w:style w:type="paragraph" w:styleId="659">
    <w:name w:val="xl114"/>
    <w:basedOn w:val="597"/>
    <w:next w:val="659"/>
    <w:link w:val="597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0">
    <w:name w:val="xl115"/>
    <w:basedOn w:val="597"/>
    <w:next w:val="660"/>
    <w:link w:val="597"/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</w:pBdr>
    </w:pPr>
  </w:style>
  <w:style w:type="paragraph" w:styleId="661">
    <w:name w:val="xl116"/>
    <w:basedOn w:val="597"/>
    <w:next w:val="661"/>
    <w:link w:val="597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62">
    <w:name w:val="xl117"/>
    <w:basedOn w:val="597"/>
    <w:next w:val="662"/>
    <w:link w:val="597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63">
    <w:name w:val="xl118"/>
    <w:basedOn w:val="597"/>
    <w:next w:val="663"/>
    <w:link w:val="597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64">
    <w:name w:val="xl119"/>
    <w:basedOn w:val="597"/>
    <w:next w:val="664"/>
    <w:link w:val="597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65">
    <w:name w:val="xl120"/>
    <w:basedOn w:val="597"/>
    <w:next w:val="665"/>
    <w:link w:val="597"/>
    <w:pPr>
      <w:jc w:val="center"/>
      <w:spacing w:after="100" w:afterAutospacing="1" w:before="100" w:beforeAutospacing="1"/>
      <w:pBdr>
        <w:left w:val="single" w:color="000000" w:sz="8" w:space="0"/>
      </w:pBdr>
    </w:pPr>
  </w:style>
  <w:style w:type="paragraph" w:styleId="666">
    <w:name w:val="xl121"/>
    <w:basedOn w:val="597"/>
    <w:next w:val="666"/>
    <w:link w:val="597"/>
    <w:rPr>
      <w:b/>
      <w:bCs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8" w:space="0"/>
        <w:bottom w:val="single" w:color="000000" w:sz="8" w:space="0"/>
      </w:pBdr>
    </w:pPr>
  </w:style>
  <w:style w:type="paragraph" w:styleId="667">
    <w:name w:val="xl122"/>
    <w:basedOn w:val="597"/>
    <w:next w:val="667"/>
    <w:link w:val="597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</w:pBdr>
    </w:pPr>
  </w:style>
  <w:style w:type="paragraph" w:styleId="668">
    <w:name w:val="xl123"/>
    <w:basedOn w:val="597"/>
    <w:next w:val="668"/>
    <w:link w:val="597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69">
    <w:name w:val="xl124"/>
    <w:basedOn w:val="597"/>
    <w:next w:val="669"/>
    <w:link w:val="597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70">
    <w:name w:val="xl125"/>
    <w:basedOn w:val="597"/>
    <w:next w:val="670"/>
    <w:link w:val="597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</w:pBdr>
    </w:pPr>
  </w:style>
  <w:style w:type="paragraph" w:styleId="671">
    <w:name w:val="xl126"/>
    <w:basedOn w:val="597"/>
    <w:next w:val="671"/>
    <w:link w:val="597"/>
    <w:pPr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</w:pBdr>
    </w:pPr>
  </w:style>
  <w:style w:type="paragraph" w:styleId="672">
    <w:name w:val="xl127"/>
    <w:basedOn w:val="597"/>
    <w:next w:val="672"/>
    <w:link w:val="597"/>
    <w:pPr>
      <w:spacing w:after="100" w:afterAutospacing="1" w:before="100" w:beforeAutospacing="1"/>
      <w:pBdr>
        <w:left w:val="single" w:color="000000" w:sz="4" w:space="0"/>
        <w:right w:val="single" w:color="000000" w:sz="4" w:space="0"/>
      </w:pBdr>
    </w:pPr>
  </w:style>
  <w:style w:type="paragraph" w:styleId="673">
    <w:name w:val="xl128"/>
    <w:basedOn w:val="597"/>
    <w:next w:val="673"/>
    <w:link w:val="597"/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74">
    <w:name w:val="xl129"/>
    <w:basedOn w:val="597"/>
    <w:next w:val="674"/>
    <w:link w:val="597"/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75">
    <w:name w:val="xl130"/>
    <w:basedOn w:val="597"/>
    <w:next w:val="675"/>
    <w:link w:val="597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</w:pBdr>
    </w:pPr>
  </w:style>
  <w:style w:type="paragraph" w:styleId="676">
    <w:name w:val="xl131"/>
    <w:basedOn w:val="597"/>
    <w:next w:val="676"/>
    <w:link w:val="597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77">
    <w:name w:val="xl132"/>
    <w:basedOn w:val="597"/>
    <w:next w:val="677"/>
    <w:link w:val="597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78">
    <w:name w:val="xl133"/>
    <w:basedOn w:val="597"/>
    <w:next w:val="678"/>
    <w:link w:val="597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79">
    <w:name w:val="xl134"/>
    <w:basedOn w:val="597"/>
    <w:next w:val="679"/>
    <w:link w:val="597"/>
    <w:rPr>
      <w:b/>
      <w:bCs/>
      <w:sz w:val="22"/>
      <w:szCs w:val="22"/>
    </w:rPr>
    <w:pPr>
      <w:jc w:val="center"/>
      <w:spacing w:after="100" w:afterAutospacing="1" w:before="100" w:beforeAutospacing="1"/>
      <w:pBdr>
        <w:top w:val="single" w:color="000000" w:sz="8" w:space="0"/>
        <w:bottom w:val="single" w:color="000000" w:sz="4" w:space="0"/>
      </w:pBdr>
    </w:pPr>
  </w:style>
  <w:style w:type="paragraph" w:styleId="680">
    <w:name w:val="xl135"/>
    <w:basedOn w:val="597"/>
    <w:next w:val="680"/>
    <w:link w:val="597"/>
    <w:rPr>
      <w:b/>
      <w:b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</w:pBdr>
    </w:pPr>
  </w:style>
  <w:style w:type="paragraph" w:styleId="681">
    <w:name w:val="xl136"/>
    <w:basedOn w:val="597"/>
    <w:next w:val="681"/>
    <w:link w:val="597"/>
    <w:rPr>
      <w:b/>
      <w:bCs/>
      <w:sz w:val="22"/>
      <w:szCs w:val="22"/>
    </w:rPr>
    <w:pPr>
      <w:jc w:val="center"/>
      <w:spacing w:after="100" w:afterAutospacing="1" w:before="100" w:beforeAutospacing="1"/>
    </w:pPr>
  </w:style>
  <w:style w:type="paragraph" w:styleId="682">
    <w:name w:val="xl137"/>
    <w:basedOn w:val="597"/>
    <w:next w:val="682"/>
    <w:link w:val="597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83">
    <w:name w:val="xl138"/>
    <w:basedOn w:val="597"/>
    <w:next w:val="683"/>
    <w:link w:val="597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</w:pBdr>
    </w:pPr>
  </w:style>
  <w:style w:type="paragraph" w:styleId="684">
    <w:name w:val="xl139"/>
    <w:basedOn w:val="597"/>
    <w:next w:val="684"/>
    <w:link w:val="597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</w:pBdr>
    </w:pPr>
  </w:style>
  <w:style w:type="paragraph" w:styleId="685">
    <w:name w:val="xl140"/>
    <w:basedOn w:val="597"/>
    <w:next w:val="685"/>
    <w:link w:val="597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8" w:space="0"/>
      </w:pBdr>
    </w:pPr>
  </w:style>
  <w:style w:type="paragraph" w:styleId="686">
    <w:name w:val="xl141"/>
    <w:basedOn w:val="597"/>
    <w:next w:val="686"/>
    <w:link w:val="597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87">
    <w:name w:val="xl142"/>
    <w:basedOn w:val="597"/>
    <w:next w:val="687"/>
    <w:link w:val="597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4" w:space="0"/>
      </w:pBdr>
    </w:pPr>
  </w:style>
  <w:style w:type="paragraph" w:styleId="688">
    <w:name w:val="xl143"/>
    <w:basedOn w:val="597"/>
    <w:next w:val="688"/>
    <w:link w:val="597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4" w:space="0"/>
      </w:pBdr>
    </w:pPr>
  </w:style>
  <w:style w:type="paragraph" w:styleId="689">
    <w:name w:val="xl144"/>
    <w:basedOn w:val="597"/>
    <w:next w:val="689"/>
    <w:link w:val="597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bottom w:val="single" w:color="000000" w:sz="4" w:space="0"/>
      </w:pBdr>
    </w:pPr>
  </w:style>
  <w:style w:type="paragraph" w:styleId="690">
    <w:name w:val="xl145"/>
    <w:basedOn w:val="597"/>
    <w:next w:val="690"/>
    <w:link w:val="597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</w:pBdr>
    </w:pPr>
  </w:style>
  <w:style w:type="paragraph" w:styleId="691">
    <w:name w:val="xl146"/>
    <w:basedOn w:val="597"/>
    <w:next w:val="691"/>
    <w:link w:val="597"/>
    <w:rPr>
      <w:b/>
      <w:bCs/>
      <w:sz w:val="22"/>
      <w:szCs w:val="22"/>
    </w:rPr>
    <w:pPr>
      <w:spacing w:after="100" w:afterAutospacing="1" w:before="100" w:beforeAutospacing="1"/>
      <w:pBdr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92">
    <w:name w:val="xl147"/>
    <w:basedOn w:val="597"/>
    <w:next w:val="692"/>
    <w:link w:val="597"/>
    <w:rPr>
      <w:b/>
      <w:bCs/>
      <w:sz w:val="22"/>
      <w:szCs w:val="22"/>
    </w:rPr>
    <w:pPr>
      <w:spacing w:after="100" w:afterAutospacing="1" w:before="100" w:beforeAutospacing="1"/>
      <w:pBdr>
        <w:top w:val="single" w:color="000000" w:sz="4" w:space="0"/>
        <w:right w:val="single" w:color="000000" w:sz="8" w:space="0"/>
      </w:pBdr>
    </w:pPr>
  </w:style>
  <w:style w:type="paragraph" w:styleId="693">
    <w:name w:val="Основной текст с отступом"/>
    <w:basedOn w:val="597"/>
    <w:next w:val="693"/>
    <w:link w:val="694"/>
    <w:pPr>
      <w:ind w:left="283"/>
      <w:spacing w:after="120"/>
    </w:pPr>
  </w:style>
  <w:style w:type="character" w:styleId="694">
    <w:name w:val="Основной текст с отступом Знак"/>
    <w:next w:val="694"/>
    <w:link w:val="693"/>
    <w:rPr>
      <w:sz w:val="24"/>
      <w:szCs w:val="24"/>
      <w:lang w:val="ru-RU" w:bidi="ar-SA" w:eastAsia="ru-RU"/>
    </w:rPr>
  </w:style>
  <w:style w:type="character" w:styleId="695" w:default="1">
    <w:name w:val="Default Paragraph Font"/>
    <w:uiPriority w:val="1"/>
    <w:semiHidden/>
    <w:unhideWhenUsed/>
  </w:style>
  <w:style w:type="numbering" w:styleId="696" w:default="1">
    <w:name w:val="No List"/>
    <w:uiPriority w:val="99"/>
    <w:semiHidden/>
    <w:unhideWhenUsed/>
  </w:style>
  <w:style w:type="paragraph" w:styleId="697" w:default="1">
    <w:name w:val="Normal"/>
    <w:qFormat/>
  </w:style>
  <w:style w:type="table" w:styleId="69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</cp:revision>
  <dcterms:modified xsi:type="dcterms:W3CDTF">2021-03-04T08:29:45Z</dcterms:modified>
</cp:coreProperties>
</file>